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6B693E3" w:rsidR="003F1CB6" w:rsidRPr="00403D69" w:rsidRDefault="006223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073BFD7F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22366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1C2DFCBC" w:rsidR="003F1CB6" w:rsidRPr="00403D69" w:rsidRDefault="003F1CB6" w:rsidP="001506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2D0F4E">
              <w:rPr>
                <w:rFonts w:ascii="Arial" w:hAnsi="Arial" w:cs="Arial"/>
                <w:b/>
                <w:bCs/>
              </w:rPr>
              <w:t xml:space="preserve"> </w:t>
            </w:r>
            <w:r w:rsidR="007330E9"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CD09E20" w:rsidR="003F1CB6" w:rsidRPr="003956F0" w:rsidRDefault="006223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3F1CB6" w:rsidRPr="00403D69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46BE7C04" w:rsidR="003F1CB6" w:rsidRPr="003956F0" w:rsidRDefault="006223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34AEDDB" w:rsidR="003F1CB6" w:rsidRPr="003956F0" w:rsidRDefault="006223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288093CB" w:rsidR="003F1CB6" w:rsidRPr="003956F0" w:rsidRDefault="006223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340D063D" w:rsidR="003F1CB6" w:rsidRPr="003956F0" w:rsidRDefault="0062236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03ACAB43" w:rsidR="003F1CB6" w:rsidRPr="003956F0" w:rsidRDefault="006223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42C32B2A" w:rsidR="003F1CB6" w:rsidRPr="003956F0" w:rsidRDefault="006223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0D9940B" w:rsidR="003F1CB6" w:rsidRPr="003956F0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0455CC1" w:rsidR="003F1CB6" w:rsidRPr="003956F0" w:rsidRDefault="003F1CB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69E2E16" w:rsidR="003F1CB6" w:rsidRPr="003956F0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741939AE" w:rsidR="003F1CB6" w:rsidRPr="003956F0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FE4ECC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813C971" w:rsidR="003F1CB6" w:rsidRPr="001B3167" w:rsidRDefault="00421D4B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8E7639B" w14:textId="343FA702" w:rsidR="003F1CB6" w:rsidRPr="003956F0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2</w:t>
            </w:r>
          </w:p>
        </w:tc>
      </w:tr>
      <w:tr w:rsidR="002D0F4E" w:rsidRPr="00403D69" w14:paraId="37501A09" w14:textId="77777777" w:rsidTr="00D0404B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4155646" w14:textId="66E4BD72" w:rsidR="002D0F4E" w:rsidRPr="00403D69" w:rsidRDefault="002D0F4E" w:rsidP="00D0404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II. INFORME INDIVIDUAL DE AUDITORÍA RELATIVO A GASTOS </w:t>
            </w:r>
            <w:r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19B8BD4" w14:textId="77777777" w:rsidR="002D0F4E" w:rsidRPr="003956F0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F4E" w:rsidRPr="00403D69" w14:paraId="395DEE8A" w14:textId="77777777" w:rsidTr="00D0404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170392D4" w14:textId="77777777" w:rsidR="002D0F4E" w:rsidRPr="00403D69" w:rsidRDefault="002D0F4E" w:rsidP="00D0404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F249465" w14:textId="77777777" w:rsidR="002D0F4E" w:rsidRPr="003956F0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F4E" w:rsidRPr="00403D69" w14:paraId="1AD304A6" w14:textId="77777777" w:rsidTr="00D0404B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394E3BF" w14:textId="70022B88" w:rsidR="002D0F4E" w:rsidRPr="00403D69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61F1F864" w14:textId="03B6822A" w:rsidR="002D0F4E" w:rsidRPr="003956F0" w:rsidRDefault="009A3CBD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553C7745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2C66127F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62E062D5" w14:textId="684CB594" w:rsidR="002D0F4E" w:rsidRPr="003956F0" w:rsidRDefault="009A3CBD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689768C8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0BB86F81" w14:textId="77777777" w:rsidR="002D0F4E" w:rsidRPr="00403D69" w:rsidRDefault="002D0F4E" w:rsidP="00D0404B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3D9A6EBF" w14:textId="6693FB3E" w:rsidR="002D0F4E" w:rsidRPr="003956F0" w:rsidRDefault="009A3CBD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7932C64B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139BA0DE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547720D1" w14:textId="7F5334E9" w:rsidR="002D0F4E" w:rsidRPr="003956F0" w:rsidRDefault="009A3CBD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4</w:t>
            </w:r>
          </w:p>
        </w:tc>
      </w:tr>
      <w:tr w:rsidR="002D0F4E" w:rsidRPr="00403D69" w14:paraId="15285780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2BEE1951" w14:textId="77777777" w:rsidR="002D0F4E" w:rsidRPr="00945D64" w:rsidRDefault="002D0F4E" w:rsidP="00D0404B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84E0BD2" w14:textId="304ABBE8" w:rsidR="002D0F4E" w:rsidRPr="003956F0" w:rsidRDefault="009A3CBD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4</w:t>
            </w:r>
          </w:p>
        </w:tc>
      </w:tr>
      <w:tr w:rsidR="002D0F4E" w:rsidRPr="00403D69" w14:paraId="41E23A7B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47B185AB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0061C57F" w14:textId="4A539ABF" w:rsidR="002D0F4E" w:rsidRPr="003956F0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6</w:t>
            </w:r>
          </w:p>
        </w:tc>
      </w:tr>
      <w:tr w:rsidR="002D0F4E" w:rsidRPr="00403D69" w14:paraId="50DE78C4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1EEA5402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EA591FE" w14:textId="7D57448A" w:rsidR="002D0F4E" w:rsidRPr="003956F0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1</w:t>
            </w:r>
            <w:r w:rsidR="00622366">
              <w:rPr>
                <w:rFonts w:ascii="Arial" w:hAnsi="Arial" w:cs="Arial"/>
                <w:b/>
              </w:rPr>
              <w:t>6</w:t>
            </w:r>
          </w:p>
        </w:tc>
      </w:tr>
      <w:tr w:rsidR="002D0F4E" w14:paraId="01C0F50D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01CBD997" w14:textId="77777777" w:rsidR="002D0F4E" w:rsidRPr="00373686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046715EE" w14:textId="25B28611" w:rsidR="002D0F4E" w:rsidRPr="003956F0" w:rsidRDefault="00622366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2D0F4E" w:rsidRPr="00403D69" w14:paraId="033CA1BC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6285B6EC" w14:textId="550CE96F" w:rsidR="002D0F4E" w:rsidRPr="001B3167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1B3167">
              <w:rPr>
                <w:rFonts w:ascii="Arial" w:hAnsi="Arial" w:cs="Arial"/>
                <w:b/>
                <w:bCs/>
              </w:rPr>
              <w:t>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3EC76A0F" w14:textId="6FD97019" w:rsidR="002D0F4E" w:rsidRPr="003956F0" w:rsidRDefault="00622366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514F1C7C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48156C6F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78EDAE92" w14:textId="3C7C6B69" w:rsidR="002D0F4E" w:rsidRPr="003956F0" w:rsidRDefault="00622366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1C1F77E6" w14:textId="77777777" w:rsidTr="00D0404B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304AE37" w14:textId="594CBE43" w:rsidR="002D0F4E" w:rsidRPr="00403D69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459C66C5" w14:textId="0818A365" w:rsidR="002D0F4E" w:rsidRPr="003956F0" w:rsidRDefault="00622366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4AB77B18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7E476E58" w14:textId="77777777" w:rsidR="002D0F4E" w:rsidRPr="001B3167" w:rsidRDefault="002D0F4E" w:rsidP="002D0F4E">
            <w:pPr>
              <w:pStyle w:val="Prrafodelista"/>
              <w:numPr>
                <w:ilvl w:val="0"/>
                <w:numId w:val="22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561243A" w14:textId="486285DC" w:rsidR="002D0F4E" w:rsidRPr="003956F0" w:rsidRDefault="009A3CBD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2</w:t>
            </w:r>
            <w:r w:rsidR="00622366">
              <w:rPr>
                <w:rFonts w:ascii="Arial" w:hAnsi="Arial" w:cs="Arial"/>
                <w:b/>
              </w:rPr>
              <w:t>0</w:t>
            </w:r>
          </w:p>
        </w:tc>
      </w:tr>
      <w:tr w:rsidR="002D0F4E" w:rsidRPr="00403D69" w14:paraId="7D769D4D" w14:textId="77777777" w:rsidTr="00333375">
        <w:trPr>
          <w:trHeight w:val="901"/>
        </w:trPr>
        <w:tc>
          <w:tcPr>
            <w:tcW w:w="4439" w:type="pct"/>
            <w:shd w:val="clear" w:color="auto" w:fill="auto"/>
          </w:tcPr>
          <w:p w14:paraId="7BFA2021" w14:textId="77777777" w:rsidR="002D0F4E" w:rsidRPr="001B3167" w:rsidRDefault="002D0F4E" w:rsidP="002D0F4E">
            <w:pPr>
              <w:pStyle w:val="Prrafodelista"/>
              <w:numPr>
                <w:ilvl w:val="0"/>
                <w:numId w:val="22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45AF9F14" w14:textId="2BABA0CA" w:rsidR="002D0F4E" w:rsidRPr="003956F0" w:rsidRDefault="009A3CBD" w:rsidP="00FC47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2</w:t>
            </w:r>
            <w:r w:rsidR="00FC47EE">
              <w:rPr>
                <w:rFonts w:ascii="Arial" w:hAnsi="Arial" w:cs="Arial"/>
                <w:b/>
              </w:rPr>
              <w:t>1</w:t>
            </w:r>
            <w:bookmarkStart w:id="1" w:name="_GoBack"/>
            <w:bookmarkEnd w:id="1"/>
          </w:p>
        </w:tc>
      </w:tr>
      <w:tr w:rsidR="002D0F4E" w:rsidRPr="00403D69" w14:paraId="4B8BC6E8" w14:textId="77777777" w:rsidTr="00333375">
        <w:trPr>
          <w:trHeight w:val="198"/>
        </w:trPr>
        <w:tc>
          <w:tcPr>
            <w:tcW w:w="4439" w:type="pct"/>
            <w:shd w:val="clear" w:color="auto" w:fill="auto"/>
          </w:tcPr>
          <w:p w14:paraId="60BF2565" w14:textId="77777777" w:rsidR="002D0F4E" w:rsidRDefault="002D0F4E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200A7088" w14:textId="77777777" w:rsidR="002D0F4E" w:rsidRPr="003956F0" w:rsidRDefault="002D0F4E" w:rsidP="00622366">
            <w:pPr>
              <w:rPr>
                <w:rFonts w:ascii="Arial" w:hAnsi="Arial" w:cs="Arial"/>
                <w:b/>
              </w:rPr>
            </w:pP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A0DFE9F" w14:textId="117CAD0A" w:rsidR="000E308D" w:rsidRDefault="002D0F4E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3A16AA">
              <w:rPr>
                <w:rFonts w:ascii="Arial" w:hAnsi="Arial" w:cs="Arial"/>
                <w:b/>
                <w:bCs/>
              </w:rPr>
              <w:t xml:space="preserve"> LOS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INFORME</w:t>
            </w:r>
            <w:r w:rsidR="003A16AA">
              <w:rPr>
                <w:rFonts w:ascii="Arial" w:hAnsi="Arial" w:cs="Arial"/>
                <w:b/>
                <w:bCs/>
              </w:rPr>
              <w:t>S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INDIVIDUAL</w:t>
            </w:r>
            <w:r w:rsidR="003A16AA">
              <w:rPr>
                <w:rFonts w:ascii="Arial" w:hAnsi="Arial" w:cs="Arial"/>
                <w:b/>
                <w:bCs/>
              </w:rPr>
              <w:t>ES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7974084B" w14:textId="22A2C937" w:rsidR="00A8325B" w:rsidRPr="00032EC2" w:rsidRDefault="00A8325B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6F2A3E" w14:textId="19B07D8C" w:rsidR="00A409D1" w:rsidRPr="003956F0" w:rsidRDefault="009A3CBD" w:rsidP="00241188">
            <w:pPr>
              <w:jc w:val="center"/>
              <w:rPr>
                <w:rFonts w:ascii="Arial" w:hAnsi="Arial" w:cs="Arial"/>
                <w:b/>
              </w:rPr>
            </w:pPr>
            <w:r w:rsidRPr="003956F0">
              <w:rPr>
                <w:rFonts w:ascii="Arial" w:hAnsi="Arial" w:cs="Arial"/>
                <w:b/>
              </w:rPr>
              <w:t>2</w:t>
            </w:r>
            <w:r w:rsidR="00622366">
              <w:rPr>
                <w:rFonts w:ascii="Arial" w:hAnsi="Arial" w:cs="Arial"/>
                <w:b/>
              </w:rPr>
              <w:t>2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21EB67AD" w14:textId="68A0FEBB" w:rsidR="006F24FE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0AF801" w14:textId="700F9C48" w:rsidR="006F24FE" w:rsidRPr="00421D4B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746764" w:rsidRDefault="00957658" w:rsidP="004F247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5FCBB84B" w14:textId="40D22D44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E77D6D8" w14:textId="77777777" w:rsidR="00A506A5" w:rsidRPr="00A05588" w:rsidRDefault="00A506A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395928BA" w:rsidR="00FA695C" w:rsidRDefault="00430423" w:rsidP="00D6607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506A9">
        <w:rPr>
          <w:rFonts w:ascii="Arial" w:hAnsi="Arial" w:cs="Arial"/>
        </w:rPr>
        <w:t>artículos 75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</w:t>
      </w:r>
      <w:r w:rsidR="00791872" w:rsidRPr="001506A9">
        <w:rPr>
          <w:rFonts w:ascii="Arial" w:hAnsi="Arial" w:cs="Arial"/>
        </w:rPr>
        <w:t xml:space="preserve">fracción </w:t>
      </w:r>
      <w:r w:rsidRPr="001506A9">
        <w:rPr>
          <w:rFonts w:ascii="Arial" w:hAnsi="Arial" w:cs="Arial"/>
        </w:rPr>
        <w:t>XXIX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y 77 de la Constitución Política del Estado Libre y Soberano de Quintana </w:t>
      </w:r>
      <w:r w:rsidR="004F7919" w:rsidRPr="001506A9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3477A1">
        <w:rPr>
          <w:rFonts w:ascii="Arial" w:hAnsi="Arial" w:cs="Arial"/>
        </w:rPr>
        <w:t>la Administración Pública Paraestatal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05691F68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1506A9">
        <w:rPr>
          <w:rFonts w:ascii="Arial" w:hAnsi="Arial" w:cs="Arial"/>
        </w:rPr>
        <w:t xml:space="preserve"> el presente informe a esta H. XVI</w:t>
      </w:r>
      <w:r w:rsidR="00A8325B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3E5F8699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1506A9">
        <w:rPr>
          <w:rFonts w:ascii="Arial" w:hAnsi="Arial" w:cs="Arial"/>
          <w:bCs/>
        </w:rPr>
        <w:t>l</w:t>
      </w:r>
      <w:r w:rsidR="005B1241">
        <w:rPr>
          <w:rFonts w:ascii="Arial" w:hAnsi="Arial" w:cs="Arial"/>
          <w:bCs/>
        </w:rPr>
        <w:t xml:space="preserve"> </w:t>
      </w:r>
      <w:r w:rsidR="00D0404B" w:rsidRPr="00ED314D">
        <w:rPr>
          <w:rFonts w:ascii="Arial" w:hAnsi="Arial" w:cs="Arial"/>
          <w:b/>
          <w:bCs/>
        </w:rPr>
        <w:t xml:space="preserve">Instituto de </w:t>
      </w:r>
      <w:r w:rsidR="00963937" w:rsidRPr="00ED314D">
        <w:rPr>
          <w:rFonts w:ascii="Arial" w:hAnsi="Arial" w:cs="Arial"/>
          <w:b/>
          <w:bCs/>
        </w:rPr>
        <w:t>la Cultura y las Artes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2150FF" w:rsidRPr="001506A9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10D78403" w:rsidR="0051225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16D3C">
        <w:rPr>
          <w:rFonts w:ascii="Arial" w:hAnsi="Arial" w:cs="Arial"/>
          <w:bCs/>
        </w:rPr>
        <w:t>el</w:t>
      </w:r>
      <w:r w:rsidR="00086D09" w:rsidRPr="009879F6">
        <w:rPr>
          <w:rFonts w:ascii="Arial" w:hAnsi="Arial" w:cs="Arial"/>
          <w:bCs/>
        </w:rPr>
        <w:t xml:space="preserve"> </w:t>
      </w:r>
      <w:r w:rsidR="00157299">
        <w:rPr>
          <w:rFonts w:ascii="Arial" w:hAnsi="Arial" w:cs="Arial"/>
          <w:b/>
          <w:bCs/>
        </w:rPr>
        <w:t>Instituto de la Cultura y las Artes de Quintana Roo</w:t>
      </w:r>
      <w:r w:rsidR="00EC34E0">
        <w:rPr>
          <w:rFonts w:ascii="Arial" w:hAnsi="Arial" w:cs="Arial"/>
          <w:b/>
          <w:bCs/>
        </w:rPr>
        <w:t xml:space="preserve"> </w:t>
      </w:r>
      <w:r w:rsidR="00EC34E0" w:rsidRPr="00EC34E0">
        <w:rPr>
          <w:rFonts w:ascii="Arial" w:hAnsi="Arial" w:cs="Arial"/>
          <w:bCs/>
        </w:rPr>
        <w:t>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A16D3C">
        <w:rPr>
          <w:rFonts w:ascii="Arial" w:hAnsi="Arial" w:cs="Arial"/>
          <w:bCs/>
        </w:rPr>
        <w:t>la cual</w:t>
      </w:r>
      <w:r w:rsidR="001075DF" w:rsidRPr="009879F6">
        <w:rPr>
          <w:rFonts w:ascii="Arial" w:hAnsi="Arial" w:cs="Arial"/>
          <w:bCs/>
        </w:rPr>
        <w:t xml:space="preserve"> </w:t>
      </w:r>
      <w:r w:rsidR="00D64329" w:rsidRPr="00A16D3C">
        <w:rPr>
          <w:rFonts w:ascii="Arial" w:hAnsi="Arial" w:cs="Arial"/>
          <w:bCs/>
        </w:rPr>
        <w:t>incluye</w:t>
      </w:r>
      <w:r w:rsidR="00A16D3C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16D3C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A16D3C">
        <w:rPr>
          <w:rFonts w:ascii="Arial" w:hAnsi="Arial" w:cs="Arial"/>
          <w:bCs/>
        </w:rPr>
        <w:t>ingresos obtenidos y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E6207BA" w14:textId="4A4D0D8A" w:rsidR="006F026F" w:rsidRDefault="006F026F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0A8BBF2F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</w:t>
      </w:r>
      <w:r w:rsidR="009A59D7" w:rsidRPr="009A59D7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2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3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3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EF4C62">
        <w:rPr>
          <w:rFonts w:ascii="Arial" w:hAnsi="Arial" w:cs="Arial"/>
          <w:bCs/>
        </w:rPr>
        <w:t xml:space="preserve"> la</w:t>
      </w:r>
      <w:r w:rsidR="00657002">
        <w:rPr>
          <w:rFonts w:ascii="Arial" w:hAnsi="Arial" w:cs="Arial"/>
          <w:bCs/>
        </w:rPr>
        <w:t xml:space="preserve"> </w:t>
      </w:r>
      <w:r w:rsidR="00A8325B">
        <w:rPr>
          <w:rFonts w:ascii="Arial" w:hAnsi="Arial" w:cs="Arial"/>
          <w:bCs/>
        </w:rPr>
        <w:t>obtención</w:t>
      </w:r>
      <w:r w:rsidR="001279B3" w:rsidRPr="00EF4C62">
        <w:rPr>
          <w:rFonts w:ascii="Arial" w:hAnsi="Arial" w:cs="Arial"/>
          <w:bCs/>
        </w:rPr>
        <w:t xml:space="preserve">, manejo, custodia y aplicación </w:t>
      </w:r>
      <w:r w:rsidR="00D66077" w:rsidRPr="00EF4C62">
        <w:rPr>
          <w:rFonts w:ascii="Arial" w:hAnsi="Arial" w:cs="Arial"/>
          <w:bCs/>
        </w:rPr>
        <w:t xml:space="preserve">de </w:t>
      </w:r>
      <w:r w:rsidR="0031062A" w:rsidRPr="00EF4C62">
        <w:rPr>
          <w:rFonts w:ascii="Arial" w:hAnsi="Arial" w:cs="Arial"/>
          <w:bCs/>
        </w:rPr>
        <w:t>los ingresos y gastos públicos</w:t>
      </w:r>
      <w:r w:rsidR="0031062A" w:rsidRPr="00EF4C62">
        <w:rPr>
          <w:rFonts w:ascii="Arial" w:hAnsi="Arial" w:cs="Arial"/>
          <w:bCs/>
          <w:i/>
          <w:i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2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B77B49">
        <w:rPr>
          <w:rFonts w:ascii="Arial" w:hAnsi="Arial" w:cs="Arial"/>
          <w:bCs/>
        </w:rPr>
        <w:t xml:space="preserve">del </w:t>
      </w:r>
      <w:r w:rsidR="00ED314D">
        <w:rPr>
          <w:rFonts w:ascii="Arial" w:hAnsi="Arial" w:cs="Arial"/>
          <w:b/>
          <w:bCs/>
        </w:rPr>
        <w:t>Instituto de la Cultura y las Artes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6EC44783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4C62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ED314D">
        <w:rPr>
          <w:rFonts w:ascii="Arial" w:hAnsi="Arial" w:cs="Arial"/>
          <w:b/>
          <w:bCs/>
        </w:rPr>
        <w:t>Instituto de la Cultura y las Artes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EF4C62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F4C62">
        <w:rPr>
          <w:rFonts w:ascii="Arial" w:hAnsi="Arial" w:cs="Arial"/>
        </w:rPr>
        <w:t>obtención del ingreso y aplicación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EF4C62">
        <w:rPr>
          <w:rFonts w:ascii="Arial" w:hAnsi="Arial" w:cs="Arial"/>
        </w:rPr>
        <w:t>estatales, federales y propios</w:t>
      </w:r>
      <w:r w:rsidRPr="009879F6">
        <w:rPr>
          <w:rFonts w:ascii="Arial" w:hAnsi="Arial" w:cs="Arial"/>
        </w:rPr>
        <w:t xml:space="preserve">. La Cuenta Pública </w:t>
      </w:r>
      <w:r w:rsidRPr="001F7AFC">
        <w:rPr>
          <w:rFonts w:ascii="Arial" w:hAnsi="Arial" w:cs="Arial"/>
        </w:rPr>
        <w:t xml:space="preserve">fue entregada </w:t>
      </w:r>
      <w:r w:rsidR="007026DE" w:rsidRPr="001F7AFC">
        <w:rPr>
          <w:rFonts w:ascii="Arial" w:hAnsi="Arial" w:cs="Arial"/>
        </w:rPr>
        <w:t xml:space="preserve">a la Auditoría Superior del Estado, </w:t>
      </w:r>
      <w:r w:rsidR="000763D1" w:rsidRPr="001F7AFC">
        <w:rPr>
          <w:rFonts w:ascii="Arial" w:hAnsi="Arial" w:cs="Arial"/>
        </w:rPr>
        <w:t>en fec</w:t>
      </w:r>
      <w:r w:rsidR="009A2855" w:rsidRPr="001F7AFC">
        <w:rPr>
          <w:rFonts w:ascii="Arial" w:hAnsi="Arial" w:cs="Arial"/>
        </w:rPr>
        <w:t>ha 27 de abril</w:t>
      </w:r>
      <w:r w:rsidR="00841FDE" w:rsidRPr="001F7AFC">
        <w:rPr>
          <w:rFonts w:ascii="Arial" w:hAnsi="Arial" w:cs="Arial"/>
        </w:rPr>
        <w:t xml:space="preserve"> de 2023</w:t>
      </w:r>
      <w:r w:rsidR="007026DE" w:rsidRPr="001F7AFC">
        <w:rPr>
          <w:rFonts w:ascii="Arial" w:hAnsi="Arial" w:cs="Arial"/>
        </w:rPr>
        <w:t>, con oficio</w:t>
      </w:r>
      <w:r w:rsidRPr="001F7AFC">
        <w:rPr>
          <w:rFonts w:ascii="Arial" w:hAnsi="Arial" w:cs="Arial"/>
        </w:rPr>
        <w:t xml:space="preserve"> No. </w:t>
      </w:r>
      <w:r w:rsidR="009A2855" w:rsidRPr="001F7AFC">
        <w:rPr>
          <w:rFonts w:ascii="Arial" w:hAnsi="Arial" w:cs="Arial"/>
        </w:rPr>
        <w:t>ICA</w:t>
      </w:r>
      <w:r w:rsidR="005B1241" w:rsidRPr="001F7AFC">
        <w:rPr>
          <w:rFonts w:ascii="Arial" w:hAnsi="Arial" w:cs="Arial"/>
        </w:rPr>
        <w:t>/DG</w:t>
      </w:r>
      <w:r w:rsidR="009A2855" w:rsidRPr="001F7AFC">
        <w:rPr>
          <w:rFonts w:ascii="Arial" w:hAnsi="Arial" w:cs="Arial"/>
        </w:rPr>
        <w:t>/0336</w:t>
      </w:r>
      <w:r w:rsidR="00841FDE" w:rsidRPr="001F7AFC">
        <w:rPr>
          <w:rFonts w:ascii="Arial" w:hAnsi="Arial" w:cs="Arial"/>
        </w:rPr>
        <w:t>/2023</w:t>
      </w:r>
      <w:r w:rsidR="00452078" w:rsidRPr="009879F6">
        <w:rPr>
          <w:rFonts w:ascii="Arial" w:hAnsi="Arial" w:cs="Arial"/>
        </w:rPr>
        <w:t>.</w:t>
      </w:r>
    </w:p>
    <w:p w14:paraId="28360F93" w14:textId="173C2CE2" w:rsidR="00F258F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2EA8166B" w:rsidR="007D0A34" w:rsidRPr="009879F6" w:rsidRDefault="0087515D" w:rsidP="001279B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63541C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63541C"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3541C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="0063541C">
        <w:rPr>
          <w:rFonts w:ascii="Arial" w:hAnsi="Arial" w:cs="Arial"/>
          <w:bCs/>
        </w:rPr>
        <w:t>ública 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</w:p>
    <w:p w14:paraId="1F84C5BA" w14:textId="38322EE4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63541C">
        <w:rPr>
          <w:rFonts w:ascii="Arial" w:hAnsi="Arial" w:cs="Arial"/>
        </w:rPr>
        <w:t xml:space="preserve">artículos </w:t>
      </w:r>
      <w:r w:rsidR="00E12B67" w:rsidRPr="0063541C">
        <w:rPr>
          <w:rFonts w:ascii="Arial" w:hAnsi="Arial" w:cs="Arial"/>
        </w:rPr>
        <w:t>2, 3, 4, 5</w:t>
      </w:r>
      <w:r w:rsidR="00996A1B" w:rsidRPr="0063541C">
        <w:rPr>
          <w:rFonts w:ascii="Arial" w:hAnsi="Arial" w:cs="Arial"/>
        </w:rPr>
        <w:t>,</w:t>
      </w:r>
      <w:r w:rsidR="003A7DD9" w:rsidRPr="0063541C">
        <w:rPr>
          <w:rFonts w:ascii="Arial" w:hAnsi="Arial" w:cs="Arial"/>
        </w:rPr>
        <w:t xml:space="preserve"> 6 fracciones I, </w:t>
      </w:r>
      <w:r w:rsidR="00A277F8" w:rsidRPr="0063541C">
        <w:rPr>
          <w:rFonts w:ascii="Arial" w:hAnsi="Arial" w:cs="Arial"/>
        </w:rPr>
        <w:t>II</w:t>
      </w:r>
      <w:r w:rsidR="003A7DD9" w:rsidRPr="0063541C">
        <w:rPr>
          <w:rFonts w:ascii="Arial" w:hAnsi="Arial" w:cs="Arial"/>
        </w:rPr>
        <w:t xml:space="preserve"> y XX,</w:t>
      </w:r>
      <w:r w:rsidR="00F503E1">
        <w:rPr>
          <w:rFonts w:ascii="Arial" w:hAnsi="Arial" w:cs="Arial"/>
        </w:rPr>
        <w:t xml:space="preserve"> </w:t>
      </w:r>
      <w:r w:rsidR="00996A1B" w:rsidRPr="0063541C">
        <w:rPr>
          <w:rFonts w:ascii="Arial" w:hAnsi="Arial" w:cs="Arial"/>
        </w:rPr>
        <w:t>1</w:t>
      </w:r>
      <w:r w:rsidR="00A277F8" w:rsidRPr="0063541C">
        <w:rPr>
          <w:rFonts w:ascii="Arial" w:hAnsi="Arial" w:cs="Arial"/>
        </w:rPr>
        <w:t>6</w:t>
      </w:r>
      <w:r w:rsidR="00996A1B" w:rsidRPr="0063541C">
        <w:rPr>
          <w:rFonts w:ascii="Arial" w:hAnsi="Arial" w:cs="Arial"/>
        </w:rPr>
        <w:t>, 17,</w:t>
      </w:r>
      <w:r w:rsidR="00E12B67" w:rsidRPr="0063541C">
        <w:rPr>
          <w:rFonts w:ascii="Arial" w:hAnsi="Arial" w:cs="Arial"/>
        </w:rPr>
        <w:t xml:space="preserve"> </w:t>
      </w:r>
      <w:r w:rsidR="00A277F8" w:rsidRPr="0063541C">
        <w:rPr>
          <w:rFonts w:ascii="Arial" w:hAnsi="Arial" w:cs="Arial"/>
        </w:rPr>
        <w:t>19</w:t>
      </w:r>
      <w:r w:rsidR="00E12B67" w:rsidRPr="0063541C">
        <w:rPr>
          <w:rFonts w:ascii="Arial" w:hAnsi="Arial" w:cs="Arial"/>
        </w:rPr>
        <w:t xml:space="preserve"> fracciones </w:t>
      </w:r>
      <w:r w:rsidR="003A7DD9" w:rsidRPr="0063541C">
        <w:rPr>
          <w:rFonts w:ascii="Arial" w:hAnsi="Arial" w:cs="Arial"/>
        </w:rPr>
        <w:t xml:space="preserve">I, VI, </w:t>
      </w:r>
      <w:r w:rsidR="00E12B67" w:rsidRPr="0063541C">
        <w:rPr>
          <w:rFonts w:ascii="Arial" w:hAnsi="Arial" w:cs="Arial"/>
        </w:rPr>
        <w:t>VII,</w:t>
      </w:r>
      <w:r w:rsidR="00E94491" w:rsidRPr="0063541C">
        <w:rPr>
          <w:rFonts w:ascii="Arial" w:hAnsi="Arial" w:cs="Arial"/>
        </w:rPr>
        <w:t xml:space="preserve"> VIII,</w:t>
      </w:r>
      <w:r w:rsidR="00840A3F" w:rsidRPr="0063541C">
        <w:rPr>
          <w:rFonts w:ascii="Arial" w:hAnsi="Arial" w:cs="Arial"/>
        </w:rPr>
        <w:t xml:space="preserve"> </w:t>
      </w:r>
      <w:r w:rsidR="00E12B67" w:rsidRPr="0063541C">
        <w:rPr>
          <w:rFonts w:ascii="Arial" w:hAnsi="Arial" w:cs="Arial"/>
        </w:rPr>
        <w:t>XII,</w:t>
      </w:r>
      <w:r w:rsidR="00A76E7F" w:rsidRPr="0063541C">
        <w:rPr>
          <w:rFonts w:ascii="Arial" w:hAnsi="Arial" w:cs="Arial"/>
        </w:rPr>
        <w:t xml:space="preserve"> </w:t>
      </w:r>
      <w:r w:rsidR="003A7DD9" w:rsidRPr="0063541C">
        <w:rPr>
          <w:rFonts w:ascii="Arial" w:hAnsi="Arial" w:cs="Arial"/>
        </w:rPr>
        <w:t>XV,</w:t>
      </w:r>
      <w:r w:rsidR="00E12B67" w:rsidRPr="0063541C">
        <w:rPr>
          <w:rFonts w:ascii="Arial" w:hAnsi="Arial" w:cs="Arial"/>
        </w:rPr>
        <w:t xml:space="preserve"> XXVI y</w:t>
      </w:r>
      <w:r w:rsidR="00A277F8" w:rsidRPr="0063541C">
        <w:rPr>
          <w:rFonts w:ascii="Arial" w:hAnsi="Arial" w:cs="Arial"/>
        </w:rPr>
        <w:t xml:space="preserve"> XXVIII,</w:t>
      </w:r>
      <w:r w:rsidR="006447D4" w:rsidRPr="0063541C">
        <w:rPr>
          <w:rFonts w:ascii="Arial" w:hAnsi="Arial" w:cs="Arial"/>
        </w:rPr>
        <w:t xml:space="preserve"> 22 </w:t>
      </w:r>
      <w:r w:rsidR="00996A1B" w:rsidRPr="0063541C">
        <w:rPr>
          <w:rFonts w:ascii="Arial" w:hAnsi="Arial" w:cs="Arial"/>
        </w:rPr>
        <w:t>en su último párrafo</w:t>
      </w:r>
      <w:r w:rsidR="00FF0D0C" w:rsidRPr="0063541C">
        <w:rPr>
          <w:rFonts w:ascii="Arial" w:hAnsi="Arial" w:cs="Arial"/>
        </w:rPr>
        <w:t xml:space="preserve">, </w:t>
      </w:r>
      <w:r w:rsidR="009E3CAE" w:rsidRPr="0063541C">
        <w:rPr>
          <w:rFonts w:ascii="Arial" w:hAnsi="Arial" w:cs="Arial"/>
        </w:rPr>
        <w:t xml:space="preserve">37, </w:t>
      </w:r>
      <w:r w:rsidR="00FF0D0C" w:rsidRPr="0063541C">
        <w:rPr>
          <w:rFonts w:ascii="Arial" w:hAnsi="Arial" w:cs="Arial"/>
        </w:rPr>
        <w:t xml:space="preserve">38, </w:t>
      </w:r>
      <w:r w:rsidR="005527AF" w:rsidRPr="0063541C">
        <w:rPr>
          <w:rFonts w:ascii="Arial" w:hAnsi="Arial" w:cs="Arial"/>
        </w:rPr>
        <w:t xml:space="preserve">40, </w:t>
      </w:r>
      <w:r w:rsidR="00FF0D0C" w:rsidRPr="0063541C">
        <w:rPr>
          <w:rFonts w:ascii="Arial" w:hAnsi="Arial" w:cs="Arial"/>
        </w:rPr>
        <w:t>41</w:t>
      </w:r>
      <w:r w:rsidR="00996A1B" w:rsidRPr="0063541C">
        <w:rPr>
          <w:rFonts w:ascii="Arial" w:hAnsi="Arial" w:cs="Arial"/>
        </w:rPr>
        <w:t>, 42</w:t>
      </w:r>
      <w:r w:rsidR="006447D4" w:rsidRPr="0063541C">
        <w:rPr>
          <w:rFonts w:ascii="Arial" w:hAnsi="Arial" w:cs="Arial"/>
        </w:rPr>
        <w:t xml:space="preserve"> y</w:t>
      </w:r>
      <w:r w:rsidR="00E12B67" w:rsidRPr="0063541C">
        <w:rPr>
          <w:rFonts w:ascii="Arial" w:hAnsi="Arial" w:cs="Arial"/>
        </w:rPr>
        <w:t xml:space="preserve"> 86 fracciones I</w:t>
      </w:r>
      <w:r w:rsidR="00A77F0A" w:rsidRPr="0063541C">
        <w:rPr>
          <w:rFonts w:ascii="Arial" w:hAnsi="Arial" w:cs="Arial"/>
        </w:rPr>
        <w:t>, XVII, XXII</w:t>
      </w:r>
      <w:r w:rsidR="00E12B67" w:rsidRPr="0063541C">
        <w:rPr>
          <w:rFonts w:ascii="Arial" w:hAnsi="Arial" w:cs="Arial"/>
        </w:rPr>
        <w:t xml:space="preserve"> y</w:t>
      </w:r>
      <w:r w:rsidR="00A277F8" w:rsidRPr="0063541C">
        <w:rPr>
          <w:rFonts w:ascii="Arial" w:hAnsi="Arial" w:cs="Arial"/>
        </w:rPr>
        <w:t xml:space="preserve"> XXXVI de la </w:t>
      </w:r>
      <w:r w:rsidR="00E12B67" w:rsidRPr="0063541C">
        <w:rPr>
          <w:rFonts w:ascii="Arial" w:hAnsi="Arial" w:cs="Arial"/>
        </w:rPr>
        <w:t>Ley d</w:t>
      </w:r>
      <w:r w:rsidR="00A277F8" w:rsidRPr="0063541C">
        <w:rPr>
          <w:rFonts w:ascii="Arial" w:hAnsi="Arial" w:cs="Arial"/>
        </w:rPr>
        <w:t>e Fiscalización y Rendición de Cuentas del Estado de Quintana Roo</w:t>
      </w:r>
      <w:bookmarkEnd w:id="4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1F7AFC">
        <w:rPr>
          <w:rFonts w:ascii="Arial" w:hAnsi="Arial" w:cs="Arial"/>
        </w:rPr>
        <w:t>los</w:t>
      </w:r>
      <w:r w:rsidR="00477085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Informe</w:t>
      </w:r>
      <w:r w:rsidR="001F7AFC">
        <w:rPr>
          <w:rFonts w:ascii="Arial" w:hAnsi="Arial" w:cs="Arial"/>
        </w:rPr>
        <w:t>s</w:t>
      </w:r>
      <w:r w:rsidR="00477085">
        <w:rPr>
          <w:rFonts w:ascii="Arial" w:hAnsi="Arial" w:cs="Arial"/>
        </w:rPr>
        <w:t xml:space="preserve"> </w:t>
      </w:r>
      <w:r w:rsidR="00E95DC3" w:rsidRPr="004408EB">
        <w:rPr>
          <w:rFonts w:ascii="Arial" w:hAnsi="Arial" w:cs="Arial"/>
        </w:rPr>
        <w:t>Individual</w:t>
      </w:r>
      <w:r w:rsidR="001F7AFC">
        <w:rPr>
          <w:rFonts w:ascii="Arial" w:hAnsi="Arial" w:cs="Arial"/>
        </w:rPr>
        <w:t>es</w:t>
      </w:r>
      <w:r w:rsidR="00E95DC3" w:rsidRPr="004408EB">
        <w:rPr>
          <w:rFonts w:ascii="Arial" w:hAnsi="Arial" w:cs="Arial"/>
        </w:rPr>
        <w:t xml:space="preserve">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1F7AFC">
        <w:rPr>
          <w:rFonts w:ascii="Arial" w:hAnsi="Arial" w:cs="Arial"/>
        </w:rPr>
        <w:t>s</w:t>
      </w:r>
      <w:r w:rsidR="0047708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>de</w:t>
      </w:r>
      <w:r w:rsidR="00477085">
        <w:rPr>
          <w:rFonts w:ascii="Arial" w:hAnsi="Arial" w:cs="Arial"/>
          <w:bCs/>
        </w:rPr>
        <w:t xml:space="preserve">l </w:t>
      </w:r>
      <w:r w:rsidR="00ED314D">
        <w:rPr>
          <w:rFonts w:ascii="Arial" w:hAnsi="Arial" w:cs="Arial"/>
          <w:b/>
          <w:bCs/>
        </w:rPr>
        <w:t>Instituto de la Cultura y las Artes de Quintana Roo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47708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F82C0D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6DB23DB4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474AB">
        <w:rPr>
          <w:rFonts w:ascii="Arial" w:hAnsi="Arial" w:cs="Arial"/>
          <w:b/>
        </w:rPr>
        <w:t>D</w:t>
      </w:r>
      <w:r w:rsidR="002913A5" w:rsidRPr="007474AB">
        <w:rPr>
          <w:rFonts w:ascii="Arial" w:hAnsi="Arial" w:cs="Arial"/>
          <w:b/>
        </w:rPr>
        <w:t>e su Creación y Objeto</w:t>
      </w:r>
    </w:p>
    <w:p w14:paraId="69F61E3F" w14:textId="77777777" w:rsidR="00C82EDE" w:rsidRDefault="00C82ED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2640E2A" w14:textId="6FFAE6A6" w:rsidR="000763D1" w:rsidRPr="00C05518" w:rsidRDefault="00ED314D" w:rsidP="000763D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 </w:t>
      </w:r>
      <w:r w:rsidRPr="00CE1C8B">
        <w:rPr>
          <w:rFonts w:ascii="Arial" w:hAnsi="Arial" w:cs="Arial"/>
          <w:b/>
        </w:rPr>
        <w:t>Instituto de la Cultura y las Artes de Quintana Roo</w:t>
      </w:r>
      <w:r w:rsidRPr="007F148E">
        <w:rPr>
          <w:rFonts w:ascii="Arial" w:hAnsi="Arial" w:cs="Arial"/>
        </w:rPr>
        <w:t>,</w:t>
      </w:r>
      <w:r w:rsidRPr="007F148E">
        <w:rPr>
          <w:rFonts w:ascii="Arial" w:hAnsi="Arial" w:cs="Arial"/>
          <w:b/>
        </w:rPr>
        <w:t xml:space="preserve"> </w:t>
      </w:r>
      <w:r w:rsidRPr="007F148E">
        <w:rPr>
          <w:rFonts w:ascii="Arial" w:hAnsi="Arial" w:cs="Arial"/>
        </w:rPr>
        <w:t>se crea mediante Decreto</w:t>
      </w:r>
      <w:r>
        <w:rPr>
          <w:rFonts w:ascii="Arial" w:hAnsi="Arial" w:cs="Arial"/>
        </w:rPr>
        <w:t xml:space="preserve"> 071</w:t>
      </w:r>
      <w:r w:rsidRPr="007F1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fecha 31 de mayo de 2017 del Poder Legislativo del Estado de Quintana Roo, </w:t>
      </w:r>
      <w:r w:rsidRPr="004F2F7C">
        <w:rPr>
          <w:rFonts w:ascii="Arial" w:hAnsi="Arial" w:cs="Arial"/>
        </w:rPr>
        <w:t>public</w:t>
      </w:r>
      <w:r w:rsidR="00B80033">
        <w:rPr>
          <w:rFonts w:ascii="Arial" w:hAnsi="Arial" w:cs="Arial"/>
        </w:rPr>
        <w:t>ado en el Periódico Oficial</w:t>
      </w:r>
      <w:r w:rsidR="009C259B">
        <w:rPr>
          <w:rFonts w:ascii="Arial" w:hAnsi="Arial" w:cs="Arial"/>
        </w:rPr>
        <w:t xml:space="preserve"> del </w:t>
      </w:r>
      <w:r w:rsidRPr="004F2F7C">
        <w:rPr>
          <w:rFonts w:ascii="Arial" w:hAnsi="Arial" w:cs="Arial"/>
        </w:rPr>
        <w:t>Es</w:t>
      </w:r>
      <w:r w:rsidR="00EC66E8">
        <w:rPr>
          <w:rFonts w:ascii="Arial" w:hAnsi="Arial" w:cs="Arial"/>
        </w:rPr>
        <w:t>tado de Quintana Roo, Tomo II, Número 69 Extraordinario, N</w:t>
      </w:r>
      <w:r w:rsidR="008F0C2F">
        <w:rPr>
          <w:rFonts w:ascii="Arial" w:hAnsi="Arial" w:cs="Arial"/>
        </w:rPr>
        <w:t>ovena É</w:t>
      </w:r>
      <w:r w:rsidRPr="004F2F7C">
        <w:rPr>
          <w:rFonts w:ascii="Arial" w:hAnsi="Arial" w:cs="Arial"/>
        </w:rPr>
        <w:t>poca, de fecha 28 de junio de 2017</w:t>
      </w:r>
      <w:r>
        <w:rPr>
          <w:rFonts w:ascii="Arial" w:hAnsi="Arial" w:cs="Arial"/>
        </w:rPr>
        <w:t xml:space="preserve">, </w:t>
      </w:r>
      <w:r w:rsidRPr="004F2F7C">
        <w:rPr>
          <w:rFonts w:ascii="Arial" w:hAnsi="Arial" w:cs="Arial"/>
        </w:rPr>
        <w:t>como un Organismo Público Descentralizado</w:t>
      </w:r>
      <w:r w:rsidRPr="004148A0">
        <w:rPr>
          <w:rFonts w:ascii="Arial" w:hAnsi="Arial" w:cs="Arial"/>
        </w:rPr>
        <w:t xml:space="preserve"> de la Administración Pública </w:t>
      </w:r>
      <w:r>
        <w:rPr>
          <w:rFonts w:ascii="Arial" w:hAnsi="Arial" w:cs="Arial"/>
        </w:rPr>
        <w:t>E</w:t>
      </w:r>
      <w:r w:rsidRPr="004148A0">
        <w:rPr>
          <w:rFonts w:ascii="Arial" w:hAnsi="Arial" w:cs="Arial"/>
        </w:rPr>
        <w:t xml:space="preserve">statal, con personalidad jurídica y patrimonio propio, </w:t>
      </w:r>
      <w:r>
        <w:rPr>
          <w:rFonts w:ascii="Arial" w:hAnsi="Arial" w:cs="Arial"/>
        </w:rPr>
        <w:t>sectorizado</w:t>
      </w:r>
      <w:r w:rsidRPr="007F148E">
        <w:rPr>
          <w:rFonts w:ascii="Arial" w:hAnsi="Arial" w:cs="Arial"/>
        </w:rPr>
        <w:t xml:space="preserve"> a la Secretaría de Educación</w:t>
      </w:r>
      <w:r>
        <w:rPr>
          <w:rFonts w:ascii="Arial" w:hAnsi="Arial" w:cs="Arial"/>
        </w:rPr>
        <w:t>,</w:t>
      </w:r>
      <w:r w:rsidRPr="006E7EAF">
        <w:rPr>
          <w:rFonts w:ascii="Arial" w:hAnsi="Arial" w:cs="Arial"/>
          <w:color w:val="FF0000"/>
        </w:rPr>
        <w:t xml:space="preserve"> </w:t>
      </w:r>
      <w:r w:rsidRPr="006E7EAF">
        <w:rPr>
          <w:rFonts w:ascii="Arial" w:hAnsi="Arial" w:cs="Arial"/>
        </w:rPr>
        <w:t xml:space="preserve">dotado de autonomía técnica y de gestión, para el cumplimiento de su objeto y sus atribuciones, </w:t>
      </w:r>
      <w:r>
        <w:rPr>
          <w:rFonts w:ascii="Arial" w:hAnsi="Arial" w:cs="Arial"/>
        </w:rPr>
        <w:t xml:space="preserve">para formular e instrumentar la política estatal en materia cultural, acorde </w:t>
      </w:r>
      <w:r w:rsidRPr="00367E2C">
        <w:rPr>
          <w:rFonts w:ascii="Arial" w:hAnsi="Arial" w:cs="Arial"/>
        </w:rPr>
        <w:t>con los objetivos, estrategias y lineamientos</w:t>
      </w:r>
      <w:r>
        <w:rPr>
          <w:rFonts w:ascii="Arial" w:hAnsi="Arial" w:cs="Arial"/>
        </w:rPr>
        <w:t xml:space="preserve"> </w:t>
      </w:r>
      <w:r w:rsidRPr="00367E2C">
        <w:rPr>
          <w:rFonts w:ascii="Arial" w:hAnsi="Arial" w:cs="Arial"/>
        </w:rPr>
        <w:t>de acción</w:t>
      </w:r>
      <w:r>
        <w:rPr>
          <w:rFonts w:ascii="Arial" w:hAnsi="Arial" w:cs="Arial"/>
        </w:rPr>
        <w:t xml:space="preserve"> contenidos en el Plan Estatal de Desarrollo. </w:t>
      </w:r>
      <w:r w:rsidRPr="004148A0">
        <w:rPr>
          <w:rFonts w:ascii="Arial" w:hAnsi="Arial" w:cs="Arial"/>
        </w:rPr>
        <w:t xml:space="preserve">El domicilio del </w:t>
      </w:r>
      <w:r w:rsidRPr="00CE1C8B">
        <w:rPr>
          <w:rFonts w:ascii="Arial" w:hAnsi="Arial" w:cs="Arial"/>
        </w:rPr>
        <w:t>Instituto</w:t>
      </w:r>
      <w:r w:rsidRPr="004148A0">
        <w:rPr>
          <w:rFonts w:ascii="Arial" w:hAnsi="Arial" w:cs="Arial"/>
        </w:rPr>
        <w:t xml:space="preserve"> se encuentra en la </w:t>
      </w:r>
      <w:r>
        <w:rPr>
          <w:rFonts w:ascii="Arial" w:hAnsi="Arial" w:cs="Arial"/>
        </w:rPr>
        <w:t>c</w:t>
      </w:r>
      <w:r w:rsidR="005F159E">
        <w:rPr>
          <w:rFonts w:ascii="Arial" w:hAnsi="Arial" w:cs="Arial"/>
        </w:rPr>
        <w:t>iudad de Chetumal, c</w:t>
      </w:r>
      <w:r w:rsidRPr="004148A0">
        <w:rPr>
          <w:rFonts w:ascii="Arial" w:hAnsi="Arial" w:cs="Arial"/>
        </w:rPr>
        <w:t>apital del Estado de Quintana Roo</w:t>
      </w:r>
      <w:r>
        <w:rPr>
          <w:rFonts w:ascii="Arial" w:hAnsi="Arial" w:cs="Arial"/>
        </w:rPr>
        <w:t xml:space="preserve">, </w:t>
      </w:r>
      <w:r w:rsidR="00EC66E8">
        <w:rPr>
          <w:rFonts w:ascii="Arial" w:hAnsi="Arial" w:cs="Arial"/>
        </w:rPr>
        <w:t xml:space="preserve">y </w:t>
      </w:r>
      <w:r w:rsidRPr="00411D74">
        <w:rPr>
          <w:rFonts w:ascii="Arial" w:hAnsi="Arial" w:cs="Arial"/>
        </w:rPr>
        <w:t>cuenta</w:t>
      </w:r>
      <w:r w:rsidR="005F159E">
        <w:rPr>
          <w:rFonts w:ascii="Arial" w:hAnsi="Arial" w:cs="Arial"/>
        </w:rPr>
        <w:t>,</w:t>
      </w:r>
      <w:r w:rsidRPr="00411D74">
        <w:rPr>
          <w:rFonts w:ascii="Arial" w:hAnsi="Arial" w:cs="Arial"/>
        </w:rPr>
        <w:t xml:space="preserve"> de acuerdo a su capacidad presupuestal, con unidades administrativas foráneas, las cuales se crean o se establecen a través de los convenios de coordinación y colaboración suscritos con los diferentes Municipios del Estado de Quintana Roo, así como organismo</w:t>
      </w:r>
      <w:r>
        <w:rPr>
          <w:rFonts w:ascii="Arial" w:hAnsi="Arial" w:cs="Arial"/>
        </w:rPr>
        <w:t>s públicos, privados y sociales</w:t>
      </w:r>
      <w:r w:rsidR="000763D1" w:rsidRPr="006D2784">
        <w:rPr>
          <w:rFonts w:ascii="Arial" w:hAnsi="Arial" w:cs="Arial"/>
        </w:rPr>
        <w:t>.</w:t>
      </w:r>
    </w:p>
    <w:p w14:paraId="5E58F45C" w14:textId="77777777" w:rsidR="007474AB" w:rsidRDefault="007474AB" w:rsidP="007474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4B2D720E" w:rsidR="00C47B98" w:rsidRPr="009879F6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C74968">
        <w:rPr>
          <w:rFonts w:ascii="Arial" w:hAnsi="Arial" w:cs="Arial"/>
          <w:b/>
          <w:bCs/>
        </w:rPr>
        <w:t>I</w:t>
      </w:r>
      <w:r w:rsidR="00C47B98" w:rsidRPr="00C74968">
        <w:rPr>
          <w:rFonts w:ascii="Arial" w:hAnsi="Arial" w:cs="Arial"/>
          <w:b/>
          <w:bCs/>
        </w:rPr>
        <w:t>. INFORME INDIVIDUAL DE AUDITOR</w:t>
      </w:r>
      <w:r w:rsidR="007115E0" w:rsidRPr="00C74968">
        <w:rPr>
          <w:rFonts w:ascii="Arial" w:hAnsi="Arial" w:cs="Arial"/>
          <w:b/>
          <w:bCs/>
        </w:rPr>
        <w:t>Í</w:t>
      </w:r>
      <w:r w:rsidR="00C47B98" w:rsidRPr="00C74968">
        <w:rPr>
          <w:rFonts w:ascii="Arial" w:hAnsi="Arial" w:cs="Arial"/>
          <w:b/>
          <w:bCs/>
        </w:rPr>
        <w:t xml:space="preserve">A RELATIVO A </w:t>
      </w:r>
      <w:r w:rsidR="00D330A1" w:rsidRPr="00C74968">
        <w:rPr>
          <w:rFonts w:ascii="Arial" w:hAnsi="Arial" w:cs="Arial"/>
          <w:b/>
          <w:bCs/>
        </w:rPr>
        <w:t xml:space="preserve">INGRESOS </w:t>
      </w:r>
      <w:r w:rsidR="000A4CA4" w:rsidRPr="00C74968">
        <w:rPr>
          <w:rFonts w:ascii="Arial" w:hAnsi="Arial" w:cs="Arial"/>
          <w:b/>
          <w:bCs/>
        </w:rPr>
        <w:t>PÚBLICOS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682D8F7B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C607D1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3D99853" w14:textId="7F93F108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6992A9ED" w14:textId="77777777" w:rsidR="00F83C52" w:rsidRPr="00C607D1" w:rsidRDefault="00F83C52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41E7DCE4" w14:textId="52679BC7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8B7EA2">
        <w:rPr>
          <w:rFonts w:ascii="Arial" w:hAnsi="Arial" w:cs="Arial"/>
          <w:bCs/>
        </w:rPr>
        <w:t xml:space="preserve">alizó en materia financiera al </w:t>
      </w:r>
      <w:r w:rsidR="00ED314D">
        <w:rPr>
          <w:rFonts w:ascii="Arial" w:hAnsi="Arial" w:cs="Arial"/>
          <w:b/>
          <w:bCs/>
        </w:rPr>
        <w:t>Instituto de la Cultura y las Artes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14D1244" w:rsidR="00AA50F2" w:rsidRPr="009879F6" w:rsidRDefault="002B0612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22-AEMF-C-GOB-035-072</w:t>
            </w:r>
          </w:p>
        </w:tc>
        <w:tc>
          <w:tcPr>
            <w:tcW w:w="2713" w:type="pct"/>
            <w:shd w:val="clear" w:color="auto" w:fill="auto"/>
          </w:tcPr>
          <w:p w14:paraId="409DA764" w14:textId="0F64D0AF" w:rsidR="00AA50F2" w:rsidRPr="009879F6" w:rsidRDefault="00F81F59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B7EA2">
              <w:rPr>
                <w:rFonts w:ascii="Arial" w:hAnsi="Arial" w:cs="Arial"/>
                <w:bCs/>
              </w:rPr>
              <w:t>Auditoría de Cumplimiento</w:t>
            </w:r>
            <w:r w:rsidR="00F020D1">
              <w:rPr>
                <w:rFonts w:ascii="Arial" w:hAnsi="Arial" w:cs="Arial"/>
                <w:bCs/>
              </w:rPr>
              <w:t xml:space="preserve"> Financiero de Ingresos</w:t>
            </w:r>
            <w:r w:rsidR="008B7EA2">
              <w:rPr>
                <w:rFonts w:ascii="Arial" w:hAnsi="Arial" w:cs="Arial"/>
                <w:bCs/>
              </w:rPr>
              <w:t xml:space="preserve"> Públicos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56EFF433" w14:textId="6F868B41" w:rsidR="00A83D37" w:rsidRDefault="00983BB9" w:rsidP="00A83D3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A2855">
        <w:rPr>
          <w:rFonts w:ascii="Arial" w:hAnsi="Arial" w:cs="Arial"/>
          <w:bCs/>
        </w:rPr>
        <w:t xml:space="preserve">Fiscalizar la gestión financiera </w:t>
      </w:r>
      <w:r w:rsidR="00F020D1" w:rsidRPr="009A2855">
        <w:rPr>
          <w:rFonts w:ascii="Arial" w:hAnsi="Arial" w:cs="Arial"/>
          <w:bCs/>
        </w:rPr>
        <w:t xml:space="preserve">de las entidades fiscalizables </w:t>
      </w:r>
      <w:r w:rsidRPr="009A2855">
        <w:rPr>
          <w:rFonts w:ascii="Arial" w:hAnsi="Arial" w:cs="Arial"/>
          <w:bCs/>
        </w:rPr>
        <w:t xml:space="preserve">para </w:t>
      </w:r>
      <w:r w:rsidR="00F020D1" w:rsidRPr="009A2855">
        <w:rPr>
          <w:rFonts w:ascii="Arial" w:hAnsi="Arial" w:cs="Arial"/>
          <w:bCs/>
        </w:rPr>
        <w:t>comprobar el cumplimiento de lo dispuesto en el Presupuesto de Egresos</w:t>
      </w:r>
      <w:r w:rsidR="005F159E">
        <w:rPr>
          <w:rFonts w:ascii="Arial" w:hAnsi="Arial" w:cs="Arial"/>
          <w:bCs/>
        </w:rPr>
        <w:t xml:space="preserve"> del Gobierno del Estado y del cual les fueron</w:t>
      </w:r>
      <w:r w:rsidR="00F020D1" w:rsidRPr="009A2855">
        <w:rPr>
          <w:rFonts w:ascii="Arial" w:hAnsi="Arial" w:cs="Arial"/>
          <w:bCs/>
        </w:rPr>
        <w:t xml:space="preserve"> asignado</w:t>
      </w:r>
      <w:r w:rsidR="005F159E">
        <w:rPr>
          <w:rFonts w:ascii="Arial" w:hAnsi="Arial" w:cs="Arial"/>
          <w:bCs/>
        </w:rPr>
        <w:t>s recursos</w:t>
      </w:r>
      <w:r w:rsidR="00F020D1" w:rsidRPr="009A2855">
        <w:rPr>
          <w:rFonts w:ascii="Arial" w:hAnsi="Arial" w:cs="Arial"/>
          <w:bCs/>
        </w:rPr>
        <w:t>, y demás disposiciones legales aplicables, en cuanto a los ingresos públicos, incluyendo la revisión del manejo y la custodia de recursos públicos estatales</w:t>
      </w:r>
      <w:r w:rsidRPr="009A2855">
        <w:rPr>
          <w:rFonts w:ascii="Arial" w:hAnsi="Arial" w:cs="Arial"/>
          <w:bCs/>
        </w:rPr>
        <w:t>, así como</w:t>
      </w:r>
      <w:r w:rsidR="00877DF3">
        <w:rPr>
          <w:rFonts w:ascii="Arial" w:hAnsi="Arial" w:cs="Arial"/>
          <w:bCs/>
        </w:rPr>
        <w:t xml:space="preserve"> de</w:t>
      </w:r>
      <w:r w:rsidRPr="009A2855">
        <w:rPr>
          <w:rFonts w:ascii="Arial" w:hAnsi="Arial" w:cs="Arial"/>
          <w:bCs/>
        </w:rPr>
        <w:t xml:space="preserve"> la demás información financiera, contable,</w:t>
      </w:r>
      <w:r w:rsidR="00F83C52" w:rsidRPr="009A2855">
        <w:rPr>
          <w:rFonts w:ascii="Arial" w:hAnsi="Arial" w:cs="Arial"/>
          <w:bCs/>
        </w:rPr>
        <w:t xml:space="preserve"> </w:t>
      </w:r>
      <w:r w:rsidR="00E22F06">
        <w:rPr>
          <w:rFonts w:ascii="Arial" w:hAnsi="Arial" w:cs="Arial"/>
          <w:bCs/>
        </w:rPr>
        <w:t>patrimonial y</w:t>
      </w:r>
      <w:r w:rsidRPr="009A2855">
        <w:rPr>
          <w:rFonts w:ascii="Arial" w:hAnsi="Arial" w:cs="Arial"/>
          <w:bCs/>
        </w:rPr>
        <w:t xml:space="preserve"> presupuestaria que la entidad fiscalizada deba incluir en su cuenta pública confo</w:t>
      </w:r>
      <w:r w:rsidR="00F020D1" w:rsidRPr="009A2855">
        <w:rPr>
          <w:rFonts w:ascii="Arial" w:hAnsi="Arial" w:cs="Arial"/>
          <w:bCs/>
        </w:rPr>
        <w:t>rme a la normatividad aplicable</w:t>
      </w:r>
      <w:r w:rsidRPr="009A2855">
        <w:rPr>
          <w:rFonts w:ascii="Arial" w:hAnsi="Arial" w:cs="Arial"/>
          <w:bCs/>
        </w:rPr>
        <w:t>.</w:t>
      </w:r>
    </w:p>
    <w:p w14:paraId="275F7B4E" w14:textId="2D41AC5D" w:rsidR="00A83D37" w:rsidRDefault="00A83D37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0E1A12" w14:textId="484FB056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42CBE64" w14:textId="759A02E4" w:rsidR="00D21C3C" w:rsidRDefault="00D21C3C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14FB25" w14:textId="7151A11F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B23FEA">
        <w:rPr>
          <w:rFonts w:ascii="Arial" w:hAnsi="Arial" w:cs="Arial"/>
          <w:b/>
        </w:rPr>
        <w:t>Universo</w:t>
      </w:r>
      <w:r w:rsidR="00AA50F2" w:rsidRPr="00B23FEA">
        <w:rPr>
          <w:rFonts w:ascii="Arial" w:hAnsi="Arial" w:cs="Arial"/>
          <w:b/>
        </w:rPr>
        <w:t xml:space="preserve">: </w:t>
      </w:r>
      <w:r w:rsidR="00AA50F2" w:rsidRPr="00B23FEA">
        <w:rPr>
          <w:rFonts w:ascii="Arial" w:hAnsi="Arial" w:cs="Arial"/>
        </w:rPr>
        <w:t>$</w:t>
      </w:r>
      <w:r w:rsidR="00ED314D">
        <w:rPr>
          <w:rFonts w:ascii="Arial" w:hAnsi="Arial" w:cs="Arial"/>
        </w:rPr>
        <w:t>147,639,388.04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1E76C7" w14:textId="7CCBEE92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ED314D">
        <w:rPr>
          <w:rFonts w:ascii="Arial" w:hAnsi="Arial" w:cs="Arial"/>
        </w:rPr>
        <w:t>91,470,563.11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3D9EC0BE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5"/>
      <w:bookmarkEnd w:id="6"/>
      <w:r w:rsidRPr="009879F6">
        <w:rPr>
          <w:rFonts w:ascii="Arial" w:hAnsi="Arial" w:cs="Arial"/>
        </w:rPr>
        <w:t>$</w:t>
      </w:r>
      <w:r w:rsidR="00ED314D">
        <w:rPr>
          <w:rFonts w:ascii="Arial" w:hAnsi="Arial" w:cs="Arial"/>
        </w:rPr>
        <w:t>83,313,990.00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0584AC78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7"/>
      <w:bookmarkEnd w:id="8"/>
      <w:r w:rsidR="00ED314D">
        <w:rPr>
          <w:rFonts w:ascii="Arial" w:hAnsi="Arial" w:cs="Arial"/>
        </w:rPr>
        <w:t>91.08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29B71ED4" w:rsidR="00E34202" w:rsidRDefault="007B1830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</w:t>
      </w:r>
      <w:r w:rsidR="00D95ECA" w:rsidRPr="00423743">
        <w:rPr>
          <w:rFonts w:ascii="Arial" w:hAnsi="Arial" w:cs="Arial"/>
        </w:rPr>
        <w:t xml:space="preserve">total del </w:t>
      </w:r>
      <w:r w:rsidRPr="00423743">
        <w:rPr>
          <w:rFonts w:ascii="Arial" w:hAnsi="Arial" w:cs="Arial"/>
        </w:rPr>
        <w:t>U</w:t>
      </w:r>
      <w:r w:rsidR="00E34202" w:rsidRPr="00423743">
        <w:rPr>
          <w:rFonts w:ascii="Arial" w:hAnsi="Arial" w:cs="Arial"/>
        </w:rPr>
        <w:t xml:space="preserve">niverso están considerados los recursos federales </w:t>
      </w:r>
      <w:r w:rsidRPr="00423743">
        <w:rPr>
          <w:rFonts w:ascii="Arial" w:hAnsi="Arial" w:cs="Arial"/>
        </w:rPr>
        <w:t>por la</w:t>
      </w:r>
      <w:r w:rsidR="00E34202" w:rsidRPr="00423743">
        <w:rPr>
          <w:rFonts w:ascii="Arial" w:hAnsi="Arial" w:cs="Arial"/>
        </w:rPr>
        <w:t xml:space="preserve"> cantidad de $</w:t>
      </w:r>
      <w:r w:rsidR="00ED314D">
        <w:rPr>
          <w:rFonts w:ascii="Arial" w:hAnsi="Arial" w:cs="Arial"/>
        </w:rPr>
        <w:t>56,168,824.93</w:t>
      </w:r>
      <w:r w:rsidR="00E34202" w:rsidRPr="00423743">
        <w:rPr>
          <w:rFonts w:ascii="Arial" w:hAnsi="Arial" w:cs="Arial"/>
        </w:rPr>
        <w:t xml:space="preserve">, </w:t>
      </w:r>
      <w:r w:rsidR="00A26BAE" w:rsidRPr="00423743">
        <w:rPr>
          <w:rFonts w:ascii="Arial" w:hAnsi="Arial" w:cs="Arial"/>
        </w:rPr>
        <w:t xml:space="preserve">los cuales </w:t>
      </w:r>
      <w:r w:rsidR="00E34202" w:rsidRPr="00423743">
        <w:rPr>
          <w:rFonts w:ascii="Arial" w:hAnsi="Arial" w:cs="Arial"/>
        </w:rPr>
        <w:t xml:space="preserve">no se </w:t>
      </w:r>
      <w:r w:rsidR="00D95ECA" w:rsidRPr="00423743">
        <w:rPr>
          <w:rFonts w:ascii="Arial" w:hAnsi="Arial" w:cs="Arial"/>
        </w:rPr>
        <w:t>contemplaron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>en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 xml:space="preserve">el monto de </w:t>
      </w:r>
      <w:r w:rsidR="00E34202" w:rsidRPr="00423743">
        <w:rPr>
          <w:rFonts w:ascii="Arial" w:hAnsi="Arial" w:cs="Arial"/>
        </w:rPr>
        <w:t>la muestra auditada</w:t>
      </w:r>
      <w:r w:rsidR="00C06E38" w:rsidRPr="00423743">
        <w:rPr>
          <w:rFonts w:ascii="Arial" w:hAnsi="Arial" w:cs="Arial"/>
        </w:rPr>
        <w:t xml:space="preserve">, </w:t>
      </w:r>
      <w:r w:rsidR="00D95ECA" w:rsidRPr="00423743">
        <w:rPr>
          <w:rFonts w:ascii="Arial" w:hAnsi="Arial" w:cs="Arial"/>
        </w:rPr>
        <w:t>quedando integrada</w:t>
      </w:r>
      <w:r w:rsidR="00C06E38" w:rsidRPr="00423743">
        <w:rPr>
          <w:rFonts w:ascii="Arial" w:hAnsi="Arial" w:cs="Arial"/>
        </w:rPr>
        <w:t xml:space="preserve"> la población objetivo </w:t>
      </w:r>
      <w:r w:rsidRPr="00423743">
        <w:rPr>
          <w:rFonts w:ascii="Arial" w:hAnsi="Arial" w:cs="Arial"/>
        </w:rPr>
        <w:t>únicamente por r</w:t>
      </w:r>
      <w:r w:rsidR="00D21C3C">
        <w:rPr>
          <w:rFonts w:ascii="Arial" w:hAnsi="Arial" w:cs="Arial"/>
        </w:rPr>
        <w:t>ecursos estatales y propios.</w:t>
      </w:r>
    </w:p>
    <w:p w14:paraId="494C5E67" w14:textId="77777777" w:rsidR="007E7538" w:rsidRDefault="007E7538" w:rsidP="002E25A3">
      <w:pPr>
        <w:spacing w:line="360" w:lineRule="auto"/>
        <w:jc w:val="both"/>
        <w:rPr>
          <w:rFonts w:ascii="Arial" w:hAnsi="Arial" w:cs="Arial"/>
        </w:rPr>
      </w:pPr>
    </w:p>
    <w:p w14:paraId="249560D0" w14:textId="4D003DFF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CC2CFC">
        <w:rPr>
          <w:rFonts w:ascii="Arial" w:hAnsi="Arial" w:cs="Arial"/>
        </w:rPr>
        <w:t>ingresos devengados</w:t>
      </w:r>
      <w:r w:rsidR="00AA50F2" w:rsidRPr="009879F6">
        <w:rPr>
          <w:rFonts w:ascii="Arial" w:hAnsi="Arial" w:cs="Arial"/>
        </w:rPr>
        <w:t xml:space="preserve"> que</w:t>
      </w:r>
      <w:r w:rsidR="00CC2CFC">
        <w:rPr>
          <w:rFonts w:ascii="Arial" w:hAnsi="Arial" w:cs="Arial"/>
        </w:rPr>
        <w:t xml:space="preserve"> forman parte del </w:t>
      </w:r>
      <w:r w:rsidR="00D21C3C">
        <w:rPr>
          <w:rFonts w:ascii="Arial" w:hAnsi="Arial" w:cs="Arial"/>
        </w:rPr>
        <w:t>Estado Analíti</w:t>
      </w:r>
      <w:r w:rsidR="00CC2CFC">
        <w:rPr>
          <w:rFonts w:ascii="Arial" w:hAnsi="Arial" w:cs="Arial"/>
        </w:rPr>
        <w:t>c</w:t>
      </w:r>
      <w:r w:rsidR="00D21C3C">
        <w:rPr>
          <w:rFonts w:ascii="Arial" w:hAnsi="Arial" w:cs="Arial"/>
        </w:rPr>
        <w:t>o de Ingresos por Fuente de Financiamiento</w:t>
      </w:r>
      <w:r w:rsidR="00491496">
        <w:rPr>
          <w:rFonts w:ascii="Arial" w:hAnsi="Arial" w:cs="Arial"/>
          <w:b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CC2CFC">
        <w:rPr>
          <w:rFonts w:ascii="Arial" w:hAnsi="Arial" w:cs="Arial"/>
          <w:bCs/>
        </w:rPr>
        <w:t>2022</w:t>
      </w:r>
      <w:r w:rsidR="00906A2A">
        <w:rPr>
          <w:rFonts w:ascii="Arial" w:hAnsi="Arial" w:cs="Arial"/>
          <w:bCs/>
        </w:rPr>
        <w:t>.</w:t>
      </w:r>
    </w:p>
    <w:p w14:paraId="70D2DC5C" w14:textId="400E6F12" w:rsidR="00716478" w:rsidRPr="00617472" w:rsidRDefault="00716478" w:rsidP="00CC2CFC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225F6A6F" w14:textId="76F3511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027AB3C8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58148B">
        <w:rPr>
          <w:rFonts w:ascii="Arial" w:hAnsi="Arial" w:cs="Arial"/>
        </w:rPr>
        <w:t>ingresos</w:t>
      </w:r>
      <w:r w:rsidR="003244C8">
        <w:rPr>
          <w:rFonts w:ascii="Arial" w:hAnsi="Arial" w:cs="Arial"/>
        </w:rPr>
        <w:t xml:space="preserve">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53F40E08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</w:t>
      </w:r>
      <w:r w:rsidR="00BC1636"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6D5167">
        <w:rPr>
          <w:rFonts w:ascii="Arial" w:hAnsi="Arial" w:cs="Arial"/>
          <w:b/>
          <w:bCs/>
        </w:rPr>
        <w:t>Instituto de la Cultura y las Artes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3809B3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2E6E67">
        <w:rPr>
          <w:rFonts w:ascii="Arial" w:hAnsi="Arial" w:cs="Arial"/>
          <w:bCs/>
        </w:rPr>
        <w:t xml:space="preserve"> </w:t>
      </w:r>
      <w:r w:rsidR="003809B3" w:rsidRPr="00FA7016">
        <w:rPr>
          <w:rFonts w:ascii="Arial" w:hAnsi="Arial" w:cs="Arial"/>
          <w:bCs/>
        </w:rPr>
        <w:t>y programáticos</w:t>
      </w:r>
      <w:r w:rsidR="00BC1636">
        <w:rPr>
          <w:rFonts w:ascii="Arial" w:hAnsi="Arial" w:cs="Arial"/>
          <w:bCs/>
        </w:rPr>
        <w:t>,</w:t>
      </w:r>
      <w:r w:rsidR="00486F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BC1636" w:rsidRPr="00BC1636">
        <w:rPr>
          <w:rFonts w:ascii="Arial" w:hAnsi="Arial" w:cs="Arial"/>
        </w:rPr>
        <w:t xml:space="preserve"> </w:t>
      </w:r>
      <w:r w:rsidR="00F52F12" w:rsidRPr="00BC1636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BC1636">
        <w:rPr>
          <w:rFonts w:ascii="Arial" w:hAnsi="Arial" w:cs="Arial"/>
          <w:bCs/>
        </w:rPr>
        <w:t>que se encuentra en los antecedentes de las auditorías practicadas</w:t>
      </w:r>
      <w:r w:rsidR="00300738" w:rsidRPr="00BC163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D3E62DC" w14:textId="663C6D65" w:rsidR="00BC1636" w:rsidRDefault="00BC1636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A05D61A" w14:textId="1EC2E74E" w:rsidR="00A03AEC" w:rsidRDefault="00A03AEC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6AC65B60" w:rsidR="008D4630" w:rsidRDefault="00D47F2C" w:rsidP="004C048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120C1">
        <w:rPr>
          <w:rFonts w:ascii="Arial" w:hAnsi="Arial" w:cs="Arial"/>
        </w:rPr>
        <w:t xml:space="preserve">Se revisaron la </w:t>
      </w:r>
      <w:r w:rsidR="00C814B7" w:rsidRPr="009120C1">
        <w:rPr>
          <w:rFonts w:ascii="Arial" w:hAnsi="Arial" w:cs="Arial"/>
        </w:rPr>
        <w:t>Dirección General,</w:t>
      </w:r>
      <w:r w:rsidR="00AB4314" w:rsidRPr="009120C1">
        <w:rPr>
          <w:rFonts w:ascii="Arial" w:hAnsi="Arial" w:cs="Arial"/>
        </w:rPr>
        <w:t xml:space="preserve"> la </w:t>
      </w:r>
      <w:r w:rsidRPr="009120C1">
        <w:rPr>
          <w:rFonts w:ascii="Arial" w:hAnsi="Arial" w:cs="Arial"/>
        </w:rPr>
        <w:t xml:space="preserve">Dirección </w:t>
      </w:r>
      <w:r w:rsidR="00AB4314" w:rsidRPr="009120C1">
        <w:rPr>
          <w:rFonts w:ascii="Arial" w:hAnsi="Arial" w:cs="Arial"/>
        </w:rPr>
        <w:t>de Administración</w:t>
      </w:r>
      <w:r w:rsidR="00631201" w:rsidRPr="009120C1">
        <w:rPr>
          <w:rFonts w:ascii="Arial" w:hAnsi="Arial" w:cs="Arial"/>
        </w:rPr>
        <w:t>, Planeación y Gestión Cultura</w:t>
      </w:r>
      <w:r w:rsidRPr="009120C1">
        <w:rPr>
          <w:rFonts w:ascii="Arial" w:hAnsi="Arial" w:cs="Arial"/>
        </w:rPr>
        <w:t>l</w:t>
      </w:r>
      <w:r w:rsidR="00C814B7" w:rsidRPr="009120C1">
        <w:rPr>
          <w:rFonts w:ascii="Arial" w:hAnsi="Arial" w:cs="Arial"/>
        </w:rPr>
        <w:t xml:space="preserve">, Casa de la Cultura de Bacalar, Museo del </w:t>
      </w:r>
      <w:r w:rsidR="00A20C50">
        <w:rPr>
          <w:rFonts w:ascii="Arial" w:hAnsi="Arial" w:cs="Arial"/>
        </w:rPr>
        <w:t>Fuerte de Bacalar y Casa de la C</w:t>
      </w:r>
      <w:r w:rsidR="00C814B7" w:rsidRPr="009120C1">
        <w:rPr>
          <w:rFonts w:ascii="Arial" w:hAnsi="Arial" w:cs="Arial"/>
        </w:rPr>
        <w:t>ultura de Cancún</w:t>
      </w:r>
      <w:r w:rsidR="00631201" w:rsidRPr="009120C1">
        <w:rPr>
          <w:rFonts w:ascii="Arial" w:hAnsi="Arial" w:cs="Arial"/>
        </w:rPr>
        <w:t xml:space="preserve"> del</w:t>
      </w:r>
      <w:r w:rsidRPr="009120C1">
        <w:rPr>
          <w:rFonts w:ascii="Arial" w:hAnsi="Arial" w:cs="Arial"/>
        </w:rPr>
        <w:t xml:space="preserve"> </w:t>
      </w:r>
      <w:r w:rsidR="006D5167" w:rsidRPr="009120C1">
        <w:rPr>
          <w:rFonts w:ascii="Arial" w:hAnsi="Arial" w:cs="Arial"/>
          <w:b/>
          <w:bCs/>
        </w:rPr>
        <w:t>Instituto de la Cultura y las Artes de Quintana Roo</w:t>
      </w:r>
      <w:r w:rsidR="004C0483" w:rsidRPr="009120C1">
        <w:rPr>
          <w:rFonts w:ascii="Arial" w:hAnsi="Arial" w:cs="Arial"/>
          <w:b/>
          <w:bCs/>
        </w:rPr>
        <w:t>.</w:t>
      </w:r>
    </w:p>
    <w:p w14:paraId="7739BB21" w14:textId="77777777" w:rsidR="00144363" w:rsidRDefault="00144363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4BBFFD" w14:textId="2E9A79A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</w:t>
      </w:r>
      <w:r w:rsidRPr="00C47B98">
        <w:rPr>
          <w:rFonts w:ascii="Arial" w:hAnsi="Arial" w:cs="Arial"/>
          <w:bCs/>
        </w:rPr>
        <w:lastRenderedPageBreak/>
        <w:t xml:space="preserve">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Pr="00B22BD5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</w:t>
      </w:r>
      <w:r w:rsidR="00E66F94" w:rsidRPr="00B22BD5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B22BD5">
        <w:rPr>
          <w:rFonts w:ascii="Arial" w:hAnsi="Arial" w:cs="Arial"/>
          <w:bCs/>
        </w:rPr>
        <w:t>,</w:t>
      </w:r>
      <w:r w:rsidR="00E66F94" w:rsidRPr="00B22BD5">
        <w:rPr>
          <w:rFonts w:ascii="Arial" w:hAnsi="Arial" w:cs="Arial"/>
          <w:bCs/>
        </w:rPr>
        <w:t xml:space="preserve"> </w:t>
      </w:r>
      <w:r w:rsidR="00315DC2" w:rsidRPr="00B22BD5">
        <w:rPr>
          <w:rFonts w:ascii="Arial" w:hAnsi="Arial" w:cs="Arial"/>
          <w:bCs/>
        </w:rPr>
        <w:t>correspondieron a</w:t>
      </w:r>
      <w:r w:rsidR="00E66F94" w:rsidRPr="00B22BD5">
        <w:rPr>
          <w:rFonts w:ascii="Arial" w:hAnsi="Arial" w:cs="Arial"/>
          <w:bCs/>
        </w:rPr>
        <w:t>:</w:t>
      </w:r>
    </w:p>
    <w:p w14:paraId="122A0339" w14:textId="77777777" w:rsidR="00356C6D" w:rsidRPr="00B22BD5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4C42466" w14:textId="1CC7B871" w:rsidR="003E14D0" w:rsidRPr="003A5164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A5164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34FB8A43" w14:textId="77777777" w:rsidR="003E14D0" w:rsidRPr="003A5164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7EFF23FC" w14:textId="074EC704" w:rsidR="003E14D0" w:rsidRPr="003A5164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A5164">
        <w:rPr>
          <w:rFonts w:ascii="Arial" w:hAnsi="Arial" w:cs="Arial"/>
        </w:rPr>
        <w:t>2. Conciliar los recursos financieros autorizados por el H</w:t>
      </w:r>
      <w:r w:rsidR="00A8325B" w:rsidRPr="003A5164">
        <w:rPr>
          <w:rFonts w:ascii="Arial" w:hAnsi="Arial" w:cs="Arial"/>
        </w:rPr>
        <w:t>.</w:t>
      </w:r>
      <w:r w:rsidRPr="003A5164">
        <w:rPr>
          <w:rFonts w:ascii="Arial" w:hAnsi="Arial" w:cs="Arial"/>
        </w:rPr>
        <w:t xml:space="preserve"> Poder Legislativo y transferidos por</w:t>
      </w:r>
      <w:r w:rsidR="00A8325B" w:rsidRPr="003A5164">
        <w:rPr>
          <w:rFonts w:ascii="Arial" w:hAnsi="Arial" w:cs="Arial"/>
        </w:rPr>
        <w:t xml:space="preserve"> la Secretarí</w:t>
      </w:r>
      <w:r w:rsidRPr="003A5164">
        <w:rPr>
          <w:rFonts w:ascii="Arial" w:hAnsi="Arial" w:cs="Arial"/>
        </w:rPr>
        <w:t xml:space="preserve">a de Finanzas y Planeación </w:t>
      </w:r>
      <w:r w:rsidR="00A8325B" w:rsidRPr="003A5164">
        <w:rPr>
          <w:rFonts w:ascii="Arial" w:hAnsi="Arial" w:cs="Arial"/>
        </w:rPr>
        <w:t xml:space="preserve">ambos del Estado de Quintana Roo </w:t>
      </w:r>
      <w:r w:rsidRPr="003A5164">
        <w:rPr>
          <w:rFonts w:ascii="Arial" w:hAnsi="Arial" w:cs="Arial"/>
        </w:rPr>
        <w:t xml:space="preserve">contra los registros contables del ente </w:t>
      </w:r>
      <w:proofErr w:type="spellStart"/>
      <w:r w:rsidRPr="003A5164">
        <w:rPr>
          <w:rFonts w:ascii="Arial" w:hAnsi="Arial" w:cs="Arial"/>
        </w:rPr>
        <w:t>fiscalizado</w:t>
      </w:r>
      <w:proofErr w:type="spellEnd"/>
      <w:r w:rsidRPr="003A5164">
        <w:rPr>
          <w:rFonts w:ascii="Arial" w:hAnsi="Arial" w:cs="Arial"/>
        </w:rPr>
        <w:t>.</w:t>
      </w:r>
    </w:p>
    <w:p w14:paraId="61A58195" w14:textId="77777777" w:rsidR="003E14D0" w:rsidRPr="003A5164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5CEDC8A6" w14:textId="5538B9BC" w:rsidR="00A8325B" w:rsidRPr="003A5164" w:rsidRDefault="003A5164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A5164">
        <w:rPr>
          <w:rFonts w:ascii="Arial" w:hAnsi="Arial" w:cs="Arial"/>
        </w:rPr>
        <w:lastRenderedPageBreak/>
        <w:t>3</w:t>
      </w:r>
      <w:r w:rsidR="003E14D0" w:rsidRPr="003A5164">
        <w:rPr>
          <w:rFonts w:ascii="Arial" w:hAnsi="Arial" w:cs="Arial"/>
        </w:rPr>
        <w:t xml:space="preserve">. </w:t>
      </w:r>
      <w:r w:rsidR="0049116D">
        <w:rPr>
          <w:rFonts w:ascii="Arial" w:hAnsi="Arial" w:cs="Arial"/>
        </w:rPr>
        <w:t>Asegurar que se comprobaron,</w:t>
      </w:r>
      <w:r w:rsidR="003B062E">
        <w:rPr>
          <w:rFonts w:ascii="Arial" w:hAnsi="Arial" w:cs="Arial"/>
        </w:rPr>
        <w:t xml:space="preserve"> justificaron </w:t>
      </w:r>
      <w:r w:rsidR="0049116D">
        <w:rPr>
          <w:rFonts w:ascii="Arial" w:hAnsi="Arial" w:cs="Arial"/>
        </w:rPr>
        <w:t>y registraron de manera correcta</w:t>
      </w:r>
      <w:r w:rsidR="003B062E">
        <w:rPr>
          <w:rFonts w:ascii="Arial" w:hAnsi="Arial" w:cs="Arial"/>
        </w:rPr>
        <w:t xml:space="preserve"> y  o</w:t>
      </w:r>
      <w:r w:rsidR="0049116D">
        <w:rPr>
          <w:rFonts w:ascii="Arial" w:hAnsi="Arial" w:cs="Arial"/>
        </w:rPr>
        <w:t>portuna los importes derivados</w:t>
      </w:r>
      <w:r w:rsidR="003B062E">
        <w:rPr>
          <w:rFonts w:ascii="Arial" w:hAnsi="Arial" w:cs="Arial"/>
        </w:rPr>
        <w:t xml:space="preserve"> de ingresos propios.</w:t>
      </w:r>
    </w:p>
    <w:p w14:paraId="67D85FC7" w14:textId="77777777" w:rsidR="00A8325B" w:rsidRPr="003A5164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39B8C90E" w14:textId="0A9CF307" w:rsidR="00A8325B" w:rsidRDefault="003A5164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A5164">
        <w:rPr>
          <w:rFonts w:ascii="Arial" w:hAnsi="Arial" w:cs="Arial"/>
        </w:rPr>
        <w:t>4</w:t>
      </w:r>
      <w:r w:rsidR="006441E6" w:rsidRPr="003A5164">
        <w:rPr>
          <w:rFonts w:ascii="Arial" w:hAnsi="Arial" w:cs="Arial"/>
        </w:rPr>
        <w:t xml:space="preserve">. </w:t>
      </w:r>
      <w:r w:rsidR="00A8325B" w:rsidRPr="003A5164">
        <w:rPr>
          <w:rFonts w:ascii="Arial" w:hAnsi="Arial" w:cs="Arial"/>
        </w:rPr>
        <w:t>Revisar la correcta revelación de Estados Financieros e informes contables de conformidad con la Ley General de Contabilidad Gubernamental y demás normatividad aplicable.</w:t>
      </w:r>
      <w:r w:rsidR="00A8325B">
        <w:rPr>
          <w:rFonts w:ascii="Arial" w:hAnsi="Arial" w:cs="Arial"/>
        </w:rPr>
        <w:t xml:space="preserve"> </w:t>
      </w:r>
    </w:p>
    <w:p w14:paraId="0847F064" w14:textId="77777777" w:rsidR="003E14D0" w:rsidRPr="001747A8" w:rsidRDefault="003E14D0" w:rsidP="003E14D0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729AD3FF" w14:textId="4F0537D5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243C041" w14:textId="5939E010" w:rsidR="00DA210E" w:rsidRDefault="00DA210E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37B0E8B2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7D7500">
        <w:rPr>
          <w:rFonts w:ascii="Arial" w:hAnsi="Arial" w:cs="Arial"/>
          <w:bCs/>
        </w:rPr>
        <w:t xml:space="preserve"> ASEQROO</w:t>
      </w:r>
      <w:r w:rsidR="006D5167">
        <w:rPr>
          <w:rFonts w:ascii="Arial" w:hAnsi="Arial" w:cs="Arial"/>
          <w:bCs/>
        </w:rPr>
        <w:t>/ASE/AEMF/0748</w:t>
      </w:r>
      <w:r w:rsidR="00FF4C00">
        <w:rPr>
          <w:rFonts w:ascii="Arial" w:hAnsi="Arial" w:cs="Arial"/>
          <w:bCs/>
        </w:rPr>
        <w:t>/07</w:t>
      </w:r>
      <w:r w:rsidR="007461B4">
        <w:rPr>
          <w:rFonts w:ascii="Arial" w:hAnsi="Arial" w:cs="Arial"/>
          <w:bCs/>
        </w:rPr>
        <w:t>/2023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855650" w:rsidRPr="00845B1A" w14:paraId="34A271CE" w14:textId="77777777" w:rsidTr="00940FC7">
        <w:trPr>
          <w:tblHeader/>
        </w:trPr>
        <w:tc>
          <w:tcPr>
            <w:tcW w:w="6091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940FC7">
        <w:tc>
          <w:tcPr>
            <w:tcW w:w="6091" w:type="dxa"/>
            <w:shd w:val="clear" w:color="auto" w:fill="auto"/>
          </w:tcPr>
          <w:p w14:paraId="56F4CBBE" w14:textId="2A8762BB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="00324C9B">
              <w:rPr>
                <w:rFonts w:ascii="Arial" w:hAnsi="Arial" w:cs="Arial"/>
                <w:bCs/>
              </w:rPr>
              <w:t>. Manuel Jesú</w:t>
            </w:r>
            <w:r>
              <w:rPr>
                <w:rFonts w:ascii="Arial" w:hAnsi="Arial" w:cs="Arial"/>
                <w:bCs/>
              </w:rPr>
              <w:t>s Brito Rosado</w:t>
            </w:r>
          </w:p>
        </w:tc>
        <w:tc>
          <w:tcPr>
            <w:tcW w:w="3402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940FC7">
        <w:tc>
          <w:tcPr>
            <w:tcW w:w="6091" w:type="dxa"/>
            <w:shd w:val="clear" w:color="auto" w:fill="auto"/>
          </w:tcPr>
          <w:p w14:paraId="5820A067" w14:textId="372BB759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FF4C00">
              <w:rPr>
                <w:rFonts w:ascii="Arial" w:hAnsi="Arial" w:cs="Arial"/>
                <w:bCs/>
              </w:rPr>
              <w:t>Landy María Cel Be</w:t>
            </w:r>
          </w:p>
        </w:tc>
        <w:tc>
          <w:tcPr>
            <w:tcW w:w="3402" w:type="dxa"/>
            <w:shd w:val="clear" w:color="auto" w:fill="auto"/>
          </w:tcPr>
          <w:p w14:paraId="76B670D2" w14:textId="2A949600" w:rsidR="00855650" w:rsidRPr="00845B1A" w:rsidRDefault="001E7327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Supervisora Encargada</w:t>
            </w:r>
          </w:p>
        </w:tc>
      </w:tr>
    </w:tbl>
    <w:p w14:paraId="0AC8B2BB" w14:textId="6D8970DC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3FDA75DF" w:rsidR="00615C7A" w:rsidRPr="00845B1A" w:rsidRDefault="002169A5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4B145103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2409A0">
        <w:rPr>
          <w:rFonts w:ascii="Arial" w:hAnsi="Arial" w:cs="Arial"/>
        </w:rPr>
        <w:t>de Contabilidad Gubernamental,</w:t>
      </w:r>
      <w:r w:rsidR="00324C9B">
        <w:rPr>
          <w:rFonts w:ascii="Arial" w:hAnsi="Arial" w:cs="Arial"/>
          <w:bCs/>
        </w:rPr>
        <w:t xml:space="preserve"> al</w:t>
      </w:r>
      <w:r w:rsidR="002F5C7F">
        <w:rPr>
          <w:rFonts w:ascii="Arial" w:hAnsi="Arial" w:cs="Arial"/>
          <w:bCs/>
        </w:rPr>
        <w:t xml:space="preserve"> Presupuesto de Egresos del Gobie</w:t>
      </w:r>
      <w:r w:rsidR="00324C9B">
        <w:rPr>
          <w:rFonts w:ascii="Arial" w:hAnsi="Arial" w:cs="Arial"/>
          <w:bCs/>
        </w:rPr>
        <w:t xml:space="preserve">rno del Estado de Quintana Roo </w:t>
      </w:r>
      <w:r w:rsidR="002F5C7F">
        <w:rPr>
          <w:rFonts w:ascii="Arial" w:hAnsi="Arial" w:cs="Arial"/>
          <w:bCs/>
        </w:rPr>
        <w:t>para el ejercicio fiscal 2022</w:t>
      </w:r>
      <w:r w:rsidR="00CB7C78">
        <w:rPr>
          <w:rFonts w:ascii="Arial" w:hAnsi="Arial" w:cs="Arial"/>
          <w:bCs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</w:t>
      </w:r>
      <w:r w:rsidR="002409A0">
        <w:rPr>
          <w:rFonts w:ascii="Arial" w:hAnsi="Arial" w:cs="Arial"/>
        </w:rPr>
        <w:t xml:space="preserve"> </w:t>
      </w:r>
      <w:r w:rsidR="00107A27" w:rsidRPr="00845B1A">
        <w:rPr>
          <w:rFonts w:ascii="Arial" w:hAnsi="Arial" w:cs="Arial"/>
        </w:rPr>
        <w:t>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8D15E3">
        <w:rPr>
          <w:rFonts w:ascii="Arial" w:hAnsi="Arial" w:cs="Arial"/>
        </w:rPr>
        <w:t>,</w:t>
      </w:r>
      <w:r w:rsidR="0092342F" w:rsidRPr="0092342F">
        <w:rPr>
          <w:rFonts w:ascii="Arial" w:hAnsi="Arial" w:cs="Arial"/>
        </w:rPr>
        <w:t xml:space="preserve"> </w:t>
      </w:r>
      <w:r w:rsidR="0092342F"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7918284C" w14:textId="0A7CD5DF" w:rsidR="00AC5AEA" w:rsidRDefault="00AC5AEA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2FC9522" w14:textId="77777777" w:rsidR="00BF1990" w:rsidRDefault="00BF1990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AEF4D4F" w14:textId="23226EC8" w:rsidR="00E53EFB" w:rsidRDefault="00DC7C92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 xml:space="preserve">, </w:t>
      </w:r>
      <w:r w:rsidR="00C12C04">
        <w:rPr>
          <w:rFonts w:ascii="Arial" w:hAnsi="Arial" w:cs="Arial"/>
          <w:bCs/>
        </w:rPr>
        <w:t>d</w:t>
      </w:r>
      <w:r w:rsidR="004A70C0">
        <w:rPr>
          <w:rFonts w:ascii="Arial" w:hAnsi="Arial" w:cs="Arial"/>
          <w:bCs/>
        </w:rPr>
        <w:t>el</w:t>
      </w:r>
      <w:r w:rsidR="00324C9B">
        <w:rPr>
          <w:rFonts w:ascii="Arial" w:hAnsi="Arial" w:cs="Arial"/>
          <w:bCs/>
        </w:rPr>
        <w:t xml:space="preserve"> Presupuesto de E</w:t>
      </w:r>
      <w:r w:rsidR="00CB7C78">
        <w:rPr>
          <w:rFonts w:ascii="Arial" w:hAnsi="Arial" w:cs="Arial"/>
          <w:bCs/>
        </w:rPr>
        <w:t>gresos del Gobi</w:t>
      </w:r>
      <w:r w:rsidR="00324C9B">
        <w:rPr>
          <w:rFonts w:ascii="Arial" w:hAnsi="Arial" w:cs="Arial"/>
          <w:bCs/>
        </w:rPr>
        <w:t>erno del Estado de Quintana Roo</w:t>
      </w:r>
      <w:r w:rsidR="00CB7C78">
        <w:rPr>
          <w:rFonts w:ascii="Arial" w:hAnsi="Arial" w:cs="Arial"/>
          <w:bCs/>
        </w:rPr>
        <w:t xml:space="preserve"> para el ejercicio fiscal 2022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</w:t>
      </w:r>
      <w:r w:rsidR="008665B0" w:rsidRPr="005C5726">
        <w:rPr>
          <w:rFonts w:ascii="Arial" w:hAnsi="Arial" w:cs="Arial"/>
          <w:bCs/>
        </w:rPr>
        <w:t>así como de</w:t>
      </w:r>
      <w:r w:rsidR="003B1CF3" w:rsidRPr="005C5726">
        <w:rPr>
          <w:rFonts w:ascii="Arial" w:hAnsi="Arial" w:cs="Arial"/>
          <w:bCs/>
        </w:rPr>
        <w:t xml:space="preserve"> </w:t>
      </w:r>
      <w:r w:rsidR="004C06F3" w:rsidRPr="005C5726">
        <w:rPr>
          <w:rFonts w:ascii="Arial" w:hAnsi="Arial" w:cs="Arial"/>
          <w:bCs/>
        </w:rPr>
        <w:t>l</w:t>
      </w:r>
      <w:r w:rsidR="00107A27" w:rsidRPr="005C5726">
        <w:rPr>
          <w:rFonts w:ascii="Arial" w:hAnsi="Arial" w:cs="Arial"/>
          <w:bCs/>
        </w:rPr>
        <w:t>o</w:t>
      </w:r>
      <w:r w:rsidR="003B1CF3" w:rsidRPr="005C5726">
        <w:rPr>
          <w:rFonts w:ascii="Arial" w:hAnsi="Arial" w:cs="Arial"/>
          <w:bCs/>
        </w:rPr>
        <w:t xml:space="preserve"> emitid</w:t>
      </w:r>
      <w:r w:rsidR="00107A27" w:rsidRPr="005C5726">
        <w:rPr>
          <w:rFonts w:ascii="Arial" w:hAnsi="Arial" w:cs="Arial"/>
          <w:bCs/>
        </w:rPr>
        <w:t>o</w:t>
      </w:r>
      <w:r w:rsidR="003B1CF3" w:rsidRPr="005C5726">
        <w:rPr>
          <w:rFonts w:ascii="Arial" w:hAnsi="Arial" w:cs="Arial"/>
          <w:bCs/>
        </w:rPr>
        <w:t xml:space="preserve"> por el Consejo Nacional de Armonización Contable (CONAC), </w:t>
      </w:r>
      <w:r w:rsidR="004C06F3" w:rsidRPr="005C5726">
        <w:rPr>
          <w:rFonts w:ascii="Arial" w:hAnsi="Arial" w:cs="Arial"/>
          <w:bCs/>
        </w:rPr>
        <w:t>y</w:t>
      </w:r>
      <w:r w:rsidR="00BE357F" w:rsidRPr="005C5726">
        <w:rPr>
          <w:rFonts w:ascii="Arial" w:hAnsi="Arial" w:cs="Arial"/>
          <w:bCs/>
        </w:rPr>
        <w:t xml:space="preserve"> </w:t>
      </w:r>
      <w:r w:rsidR="00EA41C8" w:rsidRPr="005C5726">
        <w:rPr>
          <w:rFonts w:ascii="Arial" w:hAnsi="Arial" w:cs="Arial"/>
          <w:bCs/>
        </w:rPr>
        <w:t>demás disposiciones legales y norma</w:t>
      </w:r>
      <w:r w:rsidR="004E1FDA" w:rsidRPr="005C5726">
        <w:rPr>
          <w:rFonts w:ascii="Arial" w:hAnsi="Arial" w:cs="Arial"/>
          <w:bCs/>
        </w:rPr>
        <w:t>tivas aplicables</w:t>
      </w:r>
      <w:r w:rsidR="00E638CC">
        <w:rPr>
          <w:rFonts w:ascii="Arial" w:hAnsi="Arial" w:cs="Arial"/>
          <w:bCs/>
        </w:rPr>
        <w:t xml:space="preserve">, excepto por la acción </w:t>
      </w:r>
      <w:r w:rsidR="005C5726" w:rsidRPr="005C5726">
        <w:rPr>
          <w:rFonts w:ascii="Arial" w:hAnsi="Arial" w:cs="Arial"/>
          <w:bCs/>
        </w:rPr>
        <w:t>emitida</w:t>
      </w:r>
      <w:r w:rsidR="00EE65E3" w:rsidRPr="005C5726">
        <w:rPr>
          <w:rFonts w:ascii="Arial" w:hAnsi="Arial" w:cs="Arial"/>
          <w:bCs/>
        </w:rPr>
        <w:t xml:space="preserve"> en el punto I.3 </w:t>
      </w:r>
      <w:r w:rsidR="00DE4CB1" w:rsidRPr="005C5726">
        <w:rPr>
          <w:rFonts w:ascii="Arial" w:hAnsi="Arial" w:cs="Arial"/>
          <w:bCs/>
        </w:rPr>
        <w:t xml:space="preserve">apartado A </w:t>
      </w:r>
      <w:r w:rsidR="00EE65E3" w:rsidRPr="005C5726">
        <w:rPr>
          <w:rFonts w:ascii="Arial" w:hAnsi="Arial" w:cs="Arial"/>
          <w:bCs/>
        </w:rPr>
        <w:t>consistente en 1 Promoción de Responsabilidad Administrativa Sancionatoria</w:t>
      </w:r>
      <w:r w:rsidR="004E1FDA" w:rsidRPr="005C5726">
        <w:rPr>
          <w:rFonts w:ascii="Arial" w:hAnsi="Arial" w:cs="Arial"/>
          <w:bCs/>
        </w:rPr>
        <w:t>.</w:t>
      </w:r>
      <w:r w:rsidR="000B7BD4" w:rsidRPr="00626EF1">
        <w:rPr>
          <w:rFonts w:ascii="Arial" w:hAnsi="Arial" w:cs="Arial"/>
          <w:bCs/>
        </w:rPr>
        <w:t xml:space="preserve"> </w:t>
      </w:r>
    </w:p>
    <w:p w14:paraId="13CF3D5E" w14:textId="77777777" w:rsidR="00C73F8E" w:rsidRDefault="00C73F8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09275CB" w14:textId="51F0BDA2" w:rsidR="00F326F4" w:rsidRPr="00A05588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22485F77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5C5726">
        <w:rPr>
          <w:rFonts w:ascii="Arial" w:hAnsi="Arial" w:cs="Arial"/>
        </w:rPr>
        <w:t xml:space="preserve">De conformidad con los artículos 17 </w:t>
      </w:r>
      <w:r w:rsidR="00AA45C4" w:rsidRPr="005C5726">
        <w:rPr>
          <w:rFonts w:ascii="Arial" w:hAnsi="Arial" w:cs="Arial"/>
        </w:rPr>
        <w:t>fraccio</w:t>
      </w:r>
      <w:r w:rsidRPr="005C5726">
        <w:rPr>
          <w:rFonts w:ascii="Arial" w:hAnsi="Arial" w:cs="Arial"/>
        </w:rPr>
        <w:t>n</w:t>
      </w:r>
      <w:r w:rsidR="00AA45C4" w:rsidRPr="005C5726">
        <w:rPr>
          <w:rFonts w:ascii="Arial" w:hAnsi="Arial" w:cs="Arial"/>
        </w:rPr>
        <w:t>es</w:t>
      </w:r>
      <w:r w:rsidRPr="005C5726">
        <w:rPr>
          <w:rFonts w:ascii="Arial" w:hAnsi="Arial" w:cs="Arial"/>
        </w:rPr>
        <w:t xml:space="preserve"> I</w:t>
      </w:r>
      <w:r w:rsidR="00977397" w:rsidRPr="005C5726">
        <w:rPr>
          <w:rFonts w:ascii="Arial" w:hAnsi="Arial" w:cs="Arial"/>
        </w:rPr>
        <w:t xml:space="preserve"> y II</w:t>
      </w:r>
      <w:r w:rsidRPr="005C5726">
        <w:rPr>
          <w:rFonts w:ascii="Arial" w:hAnsi="Arial" w:cs="Arial"/>
        </w:rPr>
        <w:t xml:space="preserve">, </w:t>
      </w:r>
      <w:r w:rsidR="007127B3" w:rsidRPr="005C5726">
        <w:rPr>
          <w:rFonts w:ascii="Arial" w:hAnsi="Arial" w:cs="Arial"/>
        </w:rPr>
        <w:t>38</w:t>
      </w:r>
      <w:r w:rsidR="005B73DB" w:rsidRPr="009607C7">
        <w:rPr>
          <w:rFonts w:ascii="Arial" w:hAnsi="Arial" w:cs="Arial"/>
        </w:rPr>
        <w:t xml:space="preserve"> fracción IV</w:t>
      </w:r>
      <w:r w:rsidR="007127B3" w:rsidRPr="009607C7">
        <w:rPr>
          <w:rFonts w:ascii="Arial" w:hAnsi="Arial" w:cs="Arial"/>
        </w:rPr>
        <w:t xml:space="preserve">, </w:t>
      </w:r>
      <w:r w:rsidR="00212E90" w:rsidRPr="009607C7">
        <w:rPr>
          <w:rFonts w:ascii="Arial" w:hAnsi="Arial" w:cs="Arial"/>
        </w:rPr>
        <w:t>41</w:t>
      </w:r>
      <w:r w:rsidR="00996A1B" w:rsidRPr="009607C7">
        <w:rPr>
          <w:rFonts w:ascii="Arial" w:hAnsi="Arial" w:cs="Arial"/>
        </w:rPr>
        <w:t xml:space="preserve"> en su segundo párrafo</w:t>
      </w:r>
      <w:r w:rsidR="00212E90" w:rsidRPr="009607C7">
        <w:rPr>
          <w:rFonts w:ascii="Arial" w:hAnsi="Arial" w:cs="Arial"/>
        </w:rPr>
        <w:t>,</w:t>
      </w:r>
      <w:r w:rsidR="00AA45C4" w:rsidRPr="009607C7">
        <w:rPr>
          <w:rFonts w:ascii="Arial" w:hAnsi="Arial" w:cs="Arial"/>
        </w:rPr>
        <w:t xml:space="preserve"> y</w:t>
      </w:r>
      <w:r w:rsidR="00212E90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>61 párrafo primero de la Ley de Fiscalización y Rendición de Cuentas del Estado de Quintana Roo</w:t>
      </w:r>
      <w:r w:rsidR="007127B3" w:rsidRPr="009607C7">
        <w:rPr>
          <w:rFonts w:ascii="Arial" w:hAnsi="Arial" w:cs="Arial"/>
        </w:rPr>
        <w:t>, 4</w:t>
      </w:r>
      <w:r w:rsidR="00DD7950" w:rsidRPr="009607C7">
        <w:rPr>
          <w:rFonts w:ascii="Arial" w:hAnsi="Arial" w:cs="Arial"/>
        </w:rPr>
        <w:t>, 8</w:t>
      </w:r>
      <w:r w:rsidR="00996A1B" w:rsidRPr="009607C7">
        <w:rPr>
          <w:rFonts w:ascii="Arial" w:hAnsi="Arial" w:cs="Arial"/>
        </w:rPr>
        <w:t xml:space="preserve"> y</w:t>
      </w:r>
      <w:r w:rsidR="007127B3" w:rsidRPr="009607C7">
        <w:rPr>
          <w:rFonts w:ascii="Arial" w:hAnsi="Arial" w:cs="Arial"/>
        </w:rPr>
        <w:t xml:space="preserve"> 9 </w:t>
      </w:r>
      <w:r w:rsidR="00AA45C4" w:rsidRPr="009607C7">
        <w:rPr>
          <w:rFonts w:ascii="Arial" w:hAnsi="Arial" w:cs="Arial"/>
        </w:rPr>
        <w:t>fracciones</w:t>
      </w:r>
      <w:r w:rsidR="007127B3" w:rsidRPr="009607C7">
        <w:rPr>
          <w:rFonts w:ascii="Arial" w:hAnsi="Arial" w:cs="Arial"/>
        </w:rPr>
        <w:t xml:space="preserve"> X, </w:t>
      </w:r>
      <w:r w:rsidR="00996A1B" w:rsidRPr="009607C7">
        <w:rPr>
          <w:rFonts w:ascii="Arial" w:hAnsi="Arial" w:cs="Arial"/>
        </w:rPr>
        <w:t xml:space="preserve">XI, </w:t>
      </w:r>
      <w:r w:rsidR="007127B3" w:rsidRPr="009607C7">
        <w:rPr>
          <w:rFonts w:ascii="Arial" w:hAnsi="Arial" w:cs="Arial"/>
        </w:rPr>
        <w:t>XVIII y XXVI</w:t>
      </w:r>
      <w:r w:rsidR="00AA45C4" w:rsidRPr="009607C7">
        <w:rPr>
          <w:rFonts w:ascii="Arial" w:hAnsi="Arial" w:cs="Arial"/>
        </w:rPr>
        <w:t>,</w:t>
      </w:r>
      <w:r w:rsidR="007127B3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 xml:space="preserve">del Reglamento Interior de </w:t>
      </w:r>
      <w:r w:rsidR="005A05B5" w:rsidRPr="009607C7">
        <w:rPr>
          <w:rFonts w:ascii="Arial" w:hAnsi="Arial" w:cs="Arial"/>
        </w:rPr>
        <w:t xml:space="preserve">la </w:t>
      </w:r>
      <w:r w:rsidR="005A05B5" w:rsidRPr="009607C7">
        <w:rPr>
          <w:rFonts w:ascii="Arial" w:hAnsi="Arial" w:cs="Arial"/>
        </w:rPr>
        <w:lastRenderedPageBreak/>
        <w:t>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9" w:name="_Hlk11408938"/>
      <w:r w:rsidR="00AC1182" w:rsidRPr="000B7BD4">
        <w:rPr>
          <w:rFonts w:ascii="Arial" w:hAnsi="Arial" w:cs="Arial"/>
        </w:rPr>
        <w:t xml:space="preserve">se </w:t>
      </w:r>
      <w:r w:rsidR="00AC1182" w:rsidRPr="008F7700">
        <w:rPr>
          <w:rFonts w:ascii="Arial" w:hAnsi="Arial" w:cs="Arial"/>
        </w:rPr>
        <w:t xml:space="preserve">presentaron </w:t>
      </w:r>
      <w:bookmarkStart w:id="10" w:name="_Hlk11408885"/>
      <w:r w:rsidR="008F7700" w:rsidRPr="008F7700">
        <w:rPr>
          <w:rFonts w:ascii="Arial" w:hAnsi="Arial" w:cs="Arial"/>
          <w:b/>
        </w:rPr>
        <w:t>3</w:t>
      </w:r>
      <w:r w:rsidR="00B03571" w:rsidRPr="008F7700">
        <w:rPr>
          <w:rFonts w:ascii="Arial" w:hAnsi="Arial" w:cs="Arial"/>
        </w:rPr>
        <w:t xml:space="preserve"> </w:t>
      </w:r>
      <w:r w:rsidR="00AC1182" w:rsidRPr="008F7700">
        <w:rPr>
          <w:rFonts w:ascii="Arial" w:hAnsi="Arial" w:cs="Arial"/>
        </w:rPr>
        <w:t xml:space="preserve">resultados </w:t>
      </w:r>
      <w:bookmarkStart w:id="11" w:name="_Hlk11360245"/>
      <w:r w:rsidR="00AC1182" w:rsidRPr="008F7700">
        <w:rPr>
          <w:rFonts w:ascii="Arial" w:hAnsi="Arial" w:cs="Arial"/>
        </w:rPr>
        <w:t xml:space="preserve">finales de auditoría </w:t>
      </w:r>
      <w:bookmarkEnd w:id="11"/>
      <w:r w:rsidR="00AC1182" w:rsidRPr="008F7700">
        <w:rPr>
          <w:rFonts w:ascii="Arial" w:hAnsi="Arial" w:cs="Arial"/>
        </w:rPr>
        <w:t xml:space="preserve">y se determinaron </w:t>
      </w:r>
      <w:r w:rsidR="008F7700" w:rsidRPr="008F7700">
        <w:rPr>
          <w:rFonts w:ascii="Arial" w:hAnsi="Arial" w:cs="Arial"/>
          <w:b/>
        </w:rPr>
        <w:t>5</w:t>
      </w:r>
      <w:r w:rsidR="00B03571" w:rsidRPr="008F7700">
        <w:rPr>
          <w:rFonts w:ascii="Arial" w:hAnsi="Arial" w:cs="Arial"/>
        </w:rPr>
        <w:t xml:space="preserve"> </w:t>
      </w:r>
      <w:r w:rsidR="00AC1182" w:rsidRPr="008F7700">
        <w:rPr>
          <w:rFonts w:ascii="Arial" w:hAnsi="Arial" w:cs="Arial"/>
        </w:rPr>
        <w:t>observaciones</w:t>
      </w:r>
      <w:r w:rsidR="00AC1182" w:rsidRPr="005C5726">
        <w:rPr>
          <w:rFonts w:ascii="Arial" w:hAnsi="Arial" w:cs="Arial"/>
        </w:rPr>
        <w:t>,</w:t>
      </w:r>
      <w:r w:rsidR="00781702" w:rsidRPr="005C5726">
        <w:rPr>
          <w:rFonts w:ascii="Arial" w:hAnsi="Arial" w:cs="Arial"/>
        </w:rPr>
        <w:t xml:space="preserve"> de las cuales</w:t>
      </w:r>
      <w:r w:rsidR="00AC1182" w:rsidRPr="005C5726">
        <w:rPr>
          <w:rFonts w:ascii="Arial" w:hAnsi="Arial" w:cs="Arial"/>
        </w:rPr>
        <w:t xml:space="preserve"> </w:t>
      </w:r>
      <w:r w:rsidR="00781702" w:rsidRPr="005C5726">
        <w:rPr>
          <w:rFonts w:ascii="Arial" w:hAnsi="Arial" w:cs="Arial"/>
        </w:rPr>
        <w:t>5</w:t>
      </w:r>
      <w:r w:rsidR="007B02D8" w:rsidRPr="005C5726">
        <w:rPr>
          <w:rFonts w:ascii="Arial" w:hAnsi="Arial" w:cs="Arial"/>
        </w:rPr>
        <w:t xml:space="preserve"> </w:t>
      </w:r>
      <w:r w:rsidR="00AC1182" w:rsidRPr="005C5726">
        <w:rPr>
          <w:rFonts w:ascii="Arial" w:hAnsi="Arial" w:cs="Arial"/>
        </w:rPr>
        <w:t>se encuentran pendi</w:t>
      </w:r>
      <w:r w:rsidR="009607C7" w:rsidRPr="005C5726">
        <w:rPr>
          <w:rFonts w:ascii="Arial" w:hAnsi="Arial" w:cs="Arial"/>
        </w:rPr>
        <w:t>entes de solventar; emitiéndose</w:t>
      </w:r>
      <w:r w:rsidR="00DD0DF3" w:rsidRPr="005C5726">
        <w:rPr>
          <w:rFonts w:ascii="Arial" w:hAnsi="Arial" w:cs="Arial"/>
        </w:rPr>
        <w:t xml:space="preserve"> </w:t>
      </w:r>
      <w:r w:rsidR="00F00203">
        <w:rPr>
          <w:rFonts w:ascii="Arial" w:hAnsi="Arial" w:cs="Arial"/>
        </w:rPr>
        <w:t>2</w:t>
      </w:r>
      <w:r w:rsidR="00A20C50">
        <w:rPr>
          <w:rFonts w:ascii="Arial" w:hAnsi="Arial" w:cs="Arial"/>
        </w:rPr>
        <w:t xml:space="preserve"> solicitud de aclaración,</w:t>
      </w:r>
      <w:r w:rsidR="00DD0DF3" w:rsidRPr="005C5726">
        <w:rPr>
          <w:rFonts w:ascii="Arial" w:hAnsi="Arial" w:cs="Arial"/>
        </w:rPr>
        <w:t>1 Promoción de Responsabilidad Administrativa Sancionatoria</w:t>
      </w:r>
      <w:r w:rsidR="005C5726">
        <w:rPr>
          <w:rFonts w:ascii="Arial" w:hAnsi="Arial" w:cs="Arial"/>
        </w:rPr>
        <w:t xml:space="preserve"> y </w:t>
      </w:r>
      <w:r w:rsidR="00F00203">
        <w:rPr>
          <w:rFonts w:ascii="Arial" w:hAnsi="Arial" w:cs="Arial"/>
        </w:rPr>
        <w:t>2</w:t>
      </w:r>
      <w:r w:rsidR="00CB1856" w:rsidRPr="00CB1856">
        <w:rPr>
          <w:rFonts w:ascii="Arial" w:hAnsi="Arial" w:cs="Arial"/>
        </w:rPr>
        <w:t xml:space="preserve"> recomendaciones</w:t>
      </w:r>
      <w:r w:rsidR="00AC1182" w:rsidRPr="005C5726">
        <w:rPr>
          <w:rFonts w:ascii="Arial" w:hAnsi="Arial" w:cs="Arial"/>
        </w:rPr>
        <w:t>.</w:t>
      </w:r>
    </w:p>
    <w:bookmarkEnd w:id="9"/>
    <w:bookmarkEnd w:id="10"/>
    <w:p w14:paraId="68D7519A" w14:textId="77777777" w:rsidR="00E63523" w:rsidRDefault="00E6352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48F04B82" w14:textId="11003CAD" w:rsidR="002F7D2D" w:rsidRDefault="002F7D2D" w:rsidP="00275D1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2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2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14:paraId="51246DF9" w14:textId="77777777" w:rsidR="00844C93" w:rsidRPr="00C404BF" w:rsidRDefault="00844C9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6402FB82" w14:textId="234C1D04" w:rsidR="00640CCA" w:rsidRDefault="00F503E1" w:rsidP="00275D1D">
      <w:pPr>
        <w:spacing w:line="360" w:lineRule="auto"/>
        <w:ind w:right="190"/>
        <w:jc w:val="both"/>
        <w:rPr>
          <w:rFonts w:ascii="Arial" w:hAnsi="Arial" w:cs="Arial"/>
        </w:rPr>
      </w:pPr>
      <w:bookmarkStart w:id="13" w:name="_Hlk11361172"/>
      <w:r>
        <w:rPr>
          <w:rFonts w:ascii="Arial" w:hAnsi="Arial" w:cs="Arial"/>
          <w:color w:val="212121"/>
        </w:rPr>
        <w:t xml:space="preserve">En cumplimiento al artículo 38 fracción V de la Ley de Fiscalización y Rendición de Cuentas del Estado de Quintana Roo, y </w:t>
      </w:r>
      <w:r w:rsidR="006739A0">
        <w:rPr>
          <w:rFonts w:ascii="Arial" w:hAnsi="Arial" w:cs="Arial"/>
        </w:rPr>
        <w:t>d</w:t>
      </w:r>
      <w:r w:rsidR="00640CCA">
        <w:rPr>
          <w:rFonts w:ascii="Arial" w:hAnsi="Arial" w:cs="Arial"/>
        </w:rPr>
        <w:t xml:space="preserve">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 w:rsidR="00640CCA"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 w:rsidR="00640CCA"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 xml:space="preserve">, </w:t>
      </w:r>
      <w:r w:rsidR="00BC1961" w:rsidRPr="009607C7">
        <w:rPr>
          <w:rFonts w:ascii="Arial" w:hAnsi="Arial" w:cs="Arial"/>
        </w:rPr>
        <w:t xml:space="preserve">que </w:t>
      </w:r>
      <w:r w:rsidR="005870D5" w:rsidRPr="009607C7">
        <w:rPr>
          <w:rFonts w:ascii="Arial" w:hAnsi="Arial" w:cs="Arial"/>
        </w:rPr>
        <w:t>d</w:t>
      </w:r>
      <w:r w:rsidR="005870D5">
        <w:rPr>
          <w:rFonts w:ascii="Arial" w:hAnsi="Arial" w:cs="Arial"/>
        </w:rPr>
        <w:t xml:space="preserve">erivaron en </w:t>
      </w:r>
      <w:r w:rsidR="004E1FDA">
        <w:rPr>
          <w:rFonts w:ascii="Arial" w:hAnsi="Arial" w:cs="Arial"/>
        </w:rPr>
        <w:t>la emisión de</w:t>
      </w:r>
      <w:r w:rsidR="005870D5" w:rsidRPr="00F503E1">
        <w:rPr>
          <w:rFonts w:ascii="Arial" w:hAnsi="Arial" w:cs="Arial"/>
        </w:rPr>
        <w:t xml:space="preserve"> </w:t>
      </w:r>
      <w:r w:rsidR="001C2AD2">
        <w:rPr>
          <w:rFonts w:ascii="Arial" w:hAnsi="Arial" w:cs="Arial"/>
        </w:rPr>
        <w:t xml:space="preserve">acciones </w:t>
      </w:r>
      <w:r w:rsidR="00E638CC">
        <w:rPr>
          <w:rFonts w:ascii="Arial" w:hAnsi="Arial" w:cs="Arial"/>
        </w:rPr>
        <w:t xml:space="preserve">y </w:t>
      </w:r>
      <w:r w:rsidR="005870D5" w:rsidRPr="00F503E1">
        <w:rPr>
          <w:rFonts w:ascii="Arial" w:hAnsi="Arial" w:cs="Arial"/>
        </w:rPr>
        <w:t>recomendaciones</w:t>
      </w:r>
      <w:r w:rsidR="005A5F07">
        <w:rPr>
          <w:rFonts w:ascii="Arial" w:hAnsi="Arial" w:cs="Arial"/>
        </w:rPr>
        <w:t>,</w:t>
      </w:r>
      <w:r w:rsidR="005870D5">
        <w:rPr>
          <w:rFonts w:ascii="Arial" w:hAnsi="Arial" w:cs="Arial"/>
        </w:rPr>
        <w:t xml:space="preserve"> </w:t>
      </w:r>
      <w:r w:rsidR="006F4C4E" w:rsidRPr="009607C7">
        <w:rPr>
          <w:rFonts w:ascii="Arial" w:hAnsi="Arial" w:cs="Arial"/>
        </w:rPr>
        <w:t>mismas que</w:t>
      </w:r>
      <w:r w:rsidR="006F4C4E">
        <w:rPr>
          <w:rFonts w:ascii="Arial" w:hAnsi="Arial" w:cs="Arial"/>
        </w:rPr>
        <w:t xml:space="preserve"> </w:t>
      </w:r>
      <w:r w:rsidR="00230A11">
        <w:rPr>
          <w:rFonts w:ascii="Arial" w:hAnsi="Arial" w:cs="Arial"/>
        </w:rPr>
        <w:t>se presentan en la tabla</w:t>
      </w:r>
      <w:r w:rsidR="00F25E15">
        <w:rPr>
          <w:rFonts w:ascii="Arial" w:hAnsi="Arial" w:cs="Arial"/>
        </w:rPr>
        <w:t xml:space="preserve"> siguiente</w:t>
      </w:r>
      <w:r w:rsidR="00640CCA">
        <w:rPr>
          <w:rFonts w:ascii="Arial" w:hAnsi="Arial" w:cs="Arial"/>
        </w:rPr>
        <w:t>:</w:t>
      </w:r>
    </w:p>
    <w:bookmarkEnd w:id="13"/>
    <w:p w14:paraId="0968B31E" w14:textId="77777777" w:rsidR="009607C7" w:rsidRPr="00707F2F" w:rsidRDefault="009607C7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511"/>
        <w:gridCol w:w="2946"/>
        <w:gridCol w:w="1963"/>
      </w:tblGrid>
      <w:tr w:rsidR="00B16F60" w:rsidRPr="00A81928" w14:paraId="592D321C" w14:textId="77777777" w:rsidTr="00A91F17">
        <w:trPr>
          <w:tblHeader/>
        </w:trPr>
        <w:tc>
          <w:tcPr>
            <w:tcW w:w="650" w:type="pct"/>
            <w:shd w:val="clear" w:color="auto" w:fill="D0CECE" w:themeFill="background2" w:themeFillShade="E6"/>
            <w:vAlign w:val="center"/>
          </w:tcPr>
          <w:p w14:paraId="0A4B532A" w14:textId="77777777"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814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A81928" w:rsidRDefault="00B16F60" w:rsidP="005E10ED">
            <w:pPr>
              <w:spacing w:line="360" w:lineRule="auto"/>
              <w:ind w:left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522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1014" w:type="pct"/>
            <w:shd w:val="clear" w:color="auto" w:fill="D0CECE" w:themeFill="background2" w:themeFillShade="E6"/>
            <w:vAlign w:val="center"/>
          </w:tcPr>
          <w:p w14:paraId="524D6D08" w14:textId="7AA3C71F" w:rsidR="00B16F60" w:rsidRPr="003D3CA3" w:rsidRDefault="00670D8A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B6DC46" w14:textId="50DAB74E" w:rsidR="00670D8A" w:rsidRPr="003D3CA3" w:rsidRDefault="002B0048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Acciones y Recomend</w:t>
            </w:r>
            <w:r w:rsidR="00141409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aciones</w:t>
            </w:r>
            <w:r w:rsidR="00670D8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9178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6F60" w:rsidRPr="00A81928" w14:paraId="7D2FC69C" w14:textId="77777777" w:rsidTr="00A91F17">
        <w:tc>
          <w:tcPr>
            <w:tcW w:w="650" w:type="pct"/>
            <w:shd w:val="clear" w:color="auto" w:fill="auto"/>
          </w:tcPr>
          <w:p w14:paraId="35E83D5B" w14:textId="5C022F28" w:rsidR="00B16F60" w:rsidRPr="00A81928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14" w:name="_Hlk9412384"/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9869617" w14:textId="14504DC0" w:rsidR="00B16F60" w:rsidRPr="00A81928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814" w:type="pct"/>
            <w:shd w:val="clear" w:color="auto" w:fill="auto"/>
          </w:tcPr>
          <w:p w14:paraId="2B38B584" w14:textId="7C4AFE6A" w:rsidR="00B16F60" w:rsidRPr="00A81928" w:rsidRDefault="00C43BEF" w:rsidP="005E10ED">
            <w:pPr>
              <w:spacing w:line="360" w:lineRule="auto"/>
              <w:ind w:left="5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Ausencia Parcial de Recibos de Ingresos</w:t>
            </w:r>
          </w:p>
        </w:tc>
        <w:tc>
          <w:tcPr>
            <w:tcW w:w="1522" w:type="pct"/>
            <w:shd w:val="clear" w:color="auto" w:fill="auto"/>
          </w:tcPr>
          <w:p w14:paraId="39985588" w14:textId="7AA49CBB" w:rsidR="00B16F60" w:rsidRPr="00A81928" w:rsidRDefault="00C43BEF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14" w:type="pct"/>
            <w:shd w:val="clear" w:color="auto" w:fill="auto"/>
          </w:tcPr>
          <w:p w14:paraId="24160E50" w14:textId="37FF293A" w:rsidR="00667BC7" w:rsidRPr="00A81928" w:rsidRDefault="005A2B8E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</w:p>
        </w:tc>
      </w:tr>
      <w:tr w:rsidR="00C43BEF" w:rsidRPr="00A81928" w14:paraId="6429B297" w14:textId="77777777" w:rsidTr="00A91F17">
        <w:tc>
          <w:tcPr>
            <w:tcW w:w="650" w:type="pct"/>
            <w:shd w:val="clear" w:color="auto" w:fill="auto"/>
          </w:tcPr>
          <w:p w14:paraId="319BDD90" w14:textId="77777777" w:rsidR="00C43BEF" w:rsidRPr="00C43BEF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E25ECB8" w14:textId="5BA2B127" w:rsidR="00C43BEF" w:rsidRPr="00A81928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14" w:type="pct"/>
            <w:shd w:val="clear" w:color="auto" w:fill="auto"/>
          </w:tcPr>
          <w:p w14:paraId="7FF7242F" w14:textId="0E913B56" w:rsidR="00C43BEF" w:rsidRPr="00C43BEF" w:rsidRDefault="00C43BEF" w:rsidP="005E10ED">
            <w:pPr>
              <w:spacing w:line="360" w:lineRule="auto"/>
              <w:ind w:left="5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Ausencia Parcial de Recibos de Ingresos</w:t>
            </w:r>
          </w:p>
        </w:tc>
        <w:tc>
          <w:tcPr>
            <w:tcW w:w="1522" w:type="pct"/>
            <w:shd w:val="clear" w:color="auto" w:fill="auto"/>
          </w:tcPr>
          <w:p w14:paraId="47341B01" w14:textId="4A757B16" w:rsidR="00C43BEF" w:rsidRPr="00C43BEF" w:rsidRDefault="00C43BEF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14" w:type="pct"/>
            <w:shd w:val="clear" w:color="auto" w:fill="auto"/>
          </w:tcPr>
          <w:p w14:paraId="34FCDFFD" w14:textId="13BD47F5" w:rsidR="00C43BEF" w:rsidRPr="00C43BEF" w:rsidRDefault="003C64A6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4A6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C43BEF" w:rsidRPr="00A81928" w14:paraId="4F186CF8" w14:textId="77777777" w:rsidTr="00A91F17">
        <w:tc>
          <w:tcPr>
            <w:tcW w:w="650" w:type="pct"/>
            <w:shd w:val="clear" w:color="auto" w:fill="auto"/>
          </w:tcPr>
          <w:p w14:paraId="65F24C78" w14:textId="77777777" w:rsidR="00C43BEF" w:rsidRPr="00C43BEF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60F9EEF3" w14:textId="2BD68CE0" w:rsidR="00C43BEF" w:rsidRPr="00A81928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4" w:type="pct"/>
            <w:shd w:val="clear" w:color="auto" w:fill="auto"/>
          </w:tcPr>
          <w:p w14:paraId="6F50B9AA" w14:textId="3475FB7F" w:rsidR="00C43BEF" w:rsidRPr="00C43BEF" w:rsidRDefault="00C43BEF" w:rsidP="005E10ED">
            <w:pPr>
              <w:spacing w:line="360" w:lineRule="auto"/>
              <w:ind w:left="5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Ausencia Parcial de Recibos de Ingresos</w:t>
            </w:r>
          </w:p>
        </w:tc>
        <w:tc>
          <w:tcPr>
            <w:tcW w:w="1522" w:type="pct"/>
            <w:shd w:val="clear" w:color="auto" w:fill="auto"/>
          </w:tcPr>
          <w:p w14:paraId="06EFA35A" w14:textId="792A2B75" w:rsidR="00C43BEF" w:rsidRPr="00C43BEF" w:rsidRDefault="00C43BEF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14" w:type="pct"/>
            <w:shd w:val="clear" w:color="auto" w:fill="auto"/>
          </w:tcPr>
          <w:p w14:paraId="325A5916" w14:textId="7D0B0791" w:rsidR="00C43BEF" w:rsidRPr="00C43BEF" w:rsidRDefault="00A20C50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</w:p>
        </w:tc>
      </w:tr>
      <w:tr w:rsidR="00C43BEF" w:rsidRPr="00A81928" w14:paraId="168E774E" w14:textId="77777777" w:rsidTr="00A91F17">
        <w:tc>
          <w:tcPr>
            <w:tcW w:w="650" w:type="pct"/>
            <w:shd w:val="clear" w:color="auto" w:fill="auto"/>
          </w:tcPr>
          <w:p w14:paraId="27B8E90E" w14:textId="41213A61" w:rsidR="00C43BEF" w:rsidRPr="00C43BEF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Resultado:2</w:t>
            </w:r>
          </w:p>
          <w:p w14:paraId="5982BE36" w14:textId="67839D8E" w:rsidR="00C43BEF" w:rsidRPr="00A81928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4" w:type="pct"/>
            <w:shd w:val="clear" w:color="auto" w:fill="auto"/>
          </w:tcPr>
          <w:p w14:paraId="07C802B3" w14:textId="5B1466B9" w:rsidR="00C43BEF" w:rsidRPr="00C43BEF" w:rsidRDefault="00C43BEF" w:rsidP="005E10ED">
            <w:pPr>
              <w:spacing w:line="360" w:lineRule="auto"/>
              <w:ind w:left="5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Desfases en tiempo de cobro y depósito de los servicios prestados</w:t>
            </w:r>
          </w:p>
        </w:tc>
        <w:tc>
          <w:tcPr>
            <w:tcW w:w="1522" w:type="pct"/>
            <w:shd w:val="clear" w:color="auto" w:fill="auto"/>
          </w:tcPr>
          <w:p w14:paraId="1F1C41C7" w14:textId="54F830ED" w:rsidR="00C43BEF" w:rsidRPr="00C43BEF" w:rsidRDefault="00C43BEF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(3I) Deficiencia en el proceso de recaudación</w:t>
            </w:r>
          </w:p>
        </w:tc>
        <w:tc>
          <w:tcPr>
            <w:tcW w:w="1014" w:type="pct"/>
            <w:shd w:val="clear" w:color="auto" w:fill="auto"/>
          </w:tcPr>
          <w:p w14:paraId="1A144457" w14:textId="670C8993" w:rsidR="00C43BEF" w:rsidRPr="00C43BEF" w:rsidRDefault="003C64A6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4A6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C43BEF" w:rsidRPr="00A81928" w14:paraId="04B3C2AF" w14:textId="77777777" w:rsidTr="00A91F17">
        <w:tc>
          <w:tcPr>
            <w:tcW w:w="650" w:type="pct"/>
            <w:shd w:val="clear" w:color="auto" w:fill="auto"/>
          </w:tcPr>
          <w:p w14:paraId="3B060D54" w14:textId="7C9E9F15" w:rsidR="00C43BEF" w:rsidRPr="00C43BEF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Resultado:3</w:t>
            </w:r>
          </w:p>
          <w:p w14:paraId="72839990" w14:textId="49920789" w:rsidR="00C43BEF" w:rsidRPr="00A81928" w:rsidRDefault="00C43BEF" w:rsidP="00C43B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4" w:type="pct"/>
            <w:shd w:val="clear" w:color="auto" w:fill="auto"/>
          </w:tcPr>
          <w:p w14:paraId="47284E1D" w14:textId="77777777" w:rsidR="00C43BEF" w:rsidRPr="00C43BEF" w:rsidRDefault="00C43BEF" w:rsidP="005E10ED">
            <w:pPr>
              <w:spacing w:line="360" w:lineRule="auto"/>
              <w:ind w:left="5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Falta de documentación comprobatoria y justificativa de los ingresos</w:t>
            </w:r>
          </w:p>
          <w:p w14:paraId="70498958" w14:textId="77777777" w:rsidR="00C43BEF" w:rsidRPr="00C43BEF" w:rsidRDefault="00C43BEF" w:rsidP="005E10ED">
            <w:pPr>
              <w:spacing w:line="360" w:lineRule="auto"/>
              <w:ind w:left="5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A72C4A" w14:textId="74C39AFF" w:rsidR="00C43BEF" w:rsidRPr="00C43BEF" w:rsidRDefault="00C43BEF" w:rsidP="005E10ED">
            <w:pPr>
              <w:spacing w:line="360" w:lineRule="auto"/>
              <w:ind w:left="5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2" w:type="pct"/>
            <w:shd w:val="clear" w:color="auto" w:fill="auto"/>
          </w:tcPr>
          <w:p w14:paraId="5A1E6662" w14:textId="77777777" w:rsidR="00C43BEF" w:rsidRPr="00C43BEF" w:rsidRDefault="00C43BEF" w:rsidP="00C43B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3BEF">
              <w:rPr>
                <w:rFonts w:ascii="Arial" w:hAnsi="Arial" w:cs="Arial"/>
                <w:bCs/>
                <w:sz w:val="16"/>
                <w:szCs w:val="16"/>
              </w:rPr>
              <w:t>(1A) Falta de documentación comprobatoria y justificativa de los ingresos</w:t>
            </w:r>
          </w:p>
          <w:p w14:paraId="515AD9D7" w14:textId="77777777" w:rsidR="00C43BEF" w:rsidRPr="00C43BEF" w:rsidRDefault="00C43BEF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auto"/>
          </w:tcPr>
          <w:p w14:paraId="2563E779" w14:textId="1B3C28B5" w:rsidR="00C43BEF" w:rsidRPr="00C43BEF" w:rsidRDefault="00E638CC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Promoción de R</w:t>
            </w:r>
            <w:r w:rsidR="003C64A6">
              <w:rPr>
                <w:rFonts w:ascii="Arial" w:hAnsi="Arial" w:cs="Arial"/>
                <w:bCs/>
                <w:sz w:val="16"/>
                <w:szCs w:val="16"/>
              </w:rPr>
              <w:t>esponsabilidad Administrativa Sancionatoria</w:t>
            </w:r>
          </w:p>
        </w:tc>
      </w:tr>
    </w:tbl>
    <w:p w14:paraId="50419F50" w14:textId="4CF6EFD4" w:rsidR="009607C7" w:rsidRDefault="009607C7" w:rsidP="00707F2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5" w:name="_Hlk11419882"/>
      <w:bookmarkEnd w:id="14"/>
    </w:p>
    <w:p w14:paraId="1C43053A" w14:textId="6D5A67D0" w:rsidR="00E355F4" w:rsidRDefault="00E355F4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bookmarkStart w:id="16" w:name="_Hlk11419841"/>
      <w:bookmarkEnd w:id="15"/>
      <w:r w:rsidRPr="00E355F4">
        <w:rPr>
          <w:rFonts w:ascii="Arial" w:hAnsi="Arial" w:cs="Arial"/>
          <w:b/>
          <w:bCs/>
          <w:szCs w:val="28"/>
        </w:rPr>
        <w:lastRenderedPageBreak/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78D9C4A8" w14:textId="77777777" w:rsidR="00E5115B" w:rsidRDefault="00E511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79D136E9" w14:textId="77BFC9B0" w:rsidR="00EE2C44" w:rsidRDefault="006757A6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A8033D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C62BB2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6B161FB9" w14:textId="181D424C" w:rsidR="00E355F4" w:rsidRPr="006C57E0" w:rsidRDefault="00E355F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p w14:paraId="4AC7ABFA" w14:textId="5F22E4AB" w:rsidR="00053271" w:rsidRPr="009879F6" w:rsidRDefault="00764DF6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053271" w:rsidRPr="009879F6">
        <w:rPr>
          <w:rFonts w:ascii="Arial" w:hAnsi="Arial" w:cs="Arial"/>
          <w:b/>
          <w:bCs/>
        </w:rPr>
        <w:t>. INFORME IND</w:t>
      </w:r>
      <w:r w:rsidR="008F0C2F">
        <w:rPr>
          <w:rFonts w:ascii="Arial" w:hAnsi="Arial" w:cs="Arial"/>
          <w:b/>
          <w:bCs/>
        </w:rPr>
        <w:t>IVIDUAL DE AUDITORÍA RELATIVO A</w:t>
      </w:r>
      <w:r w:rsidR="00053271">
        <w:rPr>
          <w:rFonts w:ascii="Arial" w:hAnsi="Arial" w:cs="Arial"/>
          <w:b/>
          <w:bCs/>
        </w:rPr>
        <w:t xml:space="preserve"> </w:t>
      </w:r>
      <w:r w:rsidR="00053271" w:rsidRPr="00886931">
        <w:rPr>
          <w:rFonts w:ascii="Arial" w:hAnsi="Arial" w:cs="Arial"/>
          <w:b/>
          <w:bCs/>
        </w:rPr>
        <w:t>GASTOS PÚBLICOS</w:t>
      </w:r>
    </w:p>
    <w:p w14:paraId="691D7667" w14:textId="77777777" w:rsidR="00053271" w:rsidRPr="009879F6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A542C6E" w14:textId="66078078" w:rsidR="00053271" w:rsidRPr="009879F6" w:rsidRDefault="00764DF6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053271" w:rsidRPr="009879F6">
        <w:rPr>
          <w:rFonts w:ascii="Arial" w:hAnsi="Arial" w:cs="Arial"/>
          <w:b/>
          <w:bCs/>
        </w:rPr>
        <w:t>.1. ASPECTOS GENERALES DE LA AUDITORÍA</w:t>
      </w:r>
    </w:p>
    <w:p w14:paraId="7A3937B9" w14:textId="77777777" w:rsidR="00053271" w:rsidRPr="00C607D1" w:rsidRDefault="00053271" w:rsidP="00053271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01BA427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3F752E08" w14:textId="77777777" w:rsidR="00053271" w:rsidRPr="00C607D1" w:rsidRDefault="00053271" w:rsidP="00053271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D73B5CA" w14:textId="45F29E9C" w:rsidR="00053271" w:rsidRPr="009879F6" w:rsidRDefault="00053271" w:rsidP="0005327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>
        <w:rPr>
          <w:rFonts w:ascii="Arial" w:hAnsi="Arial" w:cs="Arial"/>
          <w:bCs/>
        </w:rPr>
        <w:t xml:space="preserve">alizó en materia financiera al </w:t>
      </w:r>
      <w:r w:rsidR="000303B4">
        <w:rPr>
          <w:rFonts w:ascii="Arial" w:hAnsi="Arial" w:cs="Arial"/>
          <w:b/>
          <w:bCs/>
        </w:rPr>
        <w:t>Instituto de la Cultura y las Artes de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2B11AFD2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053271" w:rsidRPr="009879F6" w14:paraId="4D1BC1BA" w14:textId="77777777" w:rsidTr="00D0404B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6092CFEC" w14:textId="7C06D178" w:rsidR="00053271" w:rsidRPr="009879F6" w:rsidRDefault="000303B4" w:rsidP="00D0404B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22-AEMF-C-GOB-035</w:t>
            </w:r>
            <w:r w:rsidR="00053271">
              <w:rPr>
                <w:rFonts w:ascii="Arial" w:hAnsi="Arial" w:cs="Arial"/>
                <w:b/>
                <w:bCs/>
              </w:rPr>
              <w:t>-07</w:t>
            </w:r>
            <w:r w:rsidR="00BA2A0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13" w:type="pct"/>
            <w:shd w:val="clear" w:color="auto" w:fill="auto"/>
          </w:tcPr>
          <w:p w14:paraId="7B3F7942" w14:textId="2075BD1C" w:rsidR="00053271" w:rsidRPr="009879F6" w:rsidRDefault="00053271" w:rsidP="00D0404B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Auditoría de Cumpl</w:t>
            </w:r>
            <w:r w:rsidR="002549A0">
              <w:rPr>
                <w:rFonts w:ascii="Arial" w:hAnsi="Arial" w:cs="Arial"/>
                <w:bCs/>
              </w:rPr>
              <w:t>imiento Financiero de</w:t>
            </w:r>
            <w:r>
              <w:rPr>
                <w:rFonts w:ascii="Arial" w:hAnsi="Arial" w:cs="Arial"/>
                <w:bCs/>
              </w:rPr>
              <w:t xml:space="preserve"> Gastos Públicos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CE3D403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B494FF5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168D2DD1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4AC484E3" w14:textId="7FB6A1E8" w:rsidR="008904C5" w:rsidRDefault="008904C5" w:rsidP="007B6537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BA2A07">
        <w:rPr>
          <w:rFonts w:ascii="Arial" w:hAnsi="Arial" w:cs="Arial"/>
          <w:bCs/>
        </w:rPr>
        <w:t xml:space="preserve">Fiscalizar la gestión financiera de las entidades fiscalizables para comprobar el </w:t>
      </w:r>
      <w:r w:rsidRPr="00BA2A07">
        <w:rPr>
          <w:rFonts w:ascii="Arial" w:hAnsi="Arial" w:cs="Arial"/>
          <w:bCs/>
        </w:rPr>
        <w:lastRenderedPageBreak/>
        <w:t xml:space="preserve">cumplimiento de lo dispuesto en el Presupuesto de Egresos asignado, y demás disposiciones legales aplicables, en cuanto a los gastos públicos, incluyendo la revisión del manejo, la custodia y la aplicación de recursos públicos estatales, así como </w:t>
      </w:r>
      <w:r w:rsidR="00C83DC1">
        <w:rPr>
          <w:rFonts w:ascii="Arial" w:hAnsi="Arial" w:cs="Arial"/>
          <w:bCs/>
        </w:rPr>
        <w:t xml:space="preserve">de </w:t>
      </w:r>
      <w:r w:rsidRPr="00BA2A07">
        <w:rPr>
          <w:rFonts w:ascii="Arial" w:hAnsi="Arial" w:cs="Arial"/>
          <w:bCs/>
        </w:rPr>
        <w:t>la demás información financiera, contable, patrimonial, presupuestaria y programática que la entidad fiscalizada deba incluir en su cuenta pública conforme a la normatividad aplicable.</w:t>
      </w:r>
    </w:p>
    <w:p w14:paraId="071FAD9E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5543334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6A3D438E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8A6F9A" w14:textId="19B6B085" w:rsidR="00053271" w:rsidRPr="00377ED0" w:rsidRDefault="00053271" w:rsidP="00053271">
      <w:pPr>
        <w:spacing w:line="360" w:lineRule="auto"/>
        <w:jc w:val="both"/>
        <w:rPr>
          <w:rFonts w:ascii="Arial" w:hAnsi="Arial" w:cs="Arial"/>
        </w:rPr>
      </w:pPr>
      <w:r w:rsidRPr="00377ED0">
        <w:rPr>
          <w:rFonts w:ascii="Arial" w:hAnsi="Arial" w:cs="Arial"/>
          <w:b/>
        </w:rPr>
        <w:t xml:space="preserve">Universo: </w:t>
      </w:r>
      <w:r w:rsidRPr="00377ED0">
        <w:rPr>
          <w:rFonts w:ascii="Arial" w:hAnsi="Arial" w:cs="Arial"/>
        </w:rPr>
        <w:t>$</w:t>
      </w:r>
      <w:r w:rsidR="00E27863" w:rsidRPr="00377ED0">
        <w:rPr>
          <w:rFonts w:ascii="Arial" w:hAnsi="Arial" w:cs="Arial"/>
        </w:rPr>
        <w:t>147,628,696.49</w:t>
      </w:r>
    </w:p>
    <w:p w14:paraId="7BE81579" w14:textId="77777777" w:rsidR="00053271" w:rsidRPr="00377ED0" w:rsidRDefault="00053271" w:rsidP="00053271">
      <w:pPr>
        <w:spacing w:line="360" w:lineRule="auto"/>
        <w:rPr>
          <w:rFonts w:ascii="Arial" w:hAnsi="Arial" w:cs="Arial"/>
        </w:rPr>
      </w:pPr>
    </w:p>
    <w:p w14:paraId="118CBB72" w14:textId="6191A164" w:rsidR="00053271" w:rsidRPr="00377ED0" w:rsidRDefault="00053271" w:rsidP="00053271">
      <w:pPr>
        <w:spacing w:line="360" w:lineRule="auto"/>
        <w:rPr>
          <w:rFonts w:ascii="Arial" w:hAnsi="Arial" w:cs="Arial"/>
        </w:rPr>
      </w:pPr>
      <w:r w:rsidRPr="00377ED0">
        <w:rPr>
          <w:rFonts w:ascii="Arial" w:hAnsi="Arial" w:cs="Arial"/>
          <w:b/>
        </w:rPr>
        <w:t xml:space="preserve">Población Objetivo: </w:t>
      </w:r>
      <w:r w:rsidRPr="00377ED0">
        <w:rPr>
          <w:rFonts w:ascii="Arial" w:hAnsi="Arial" w:cs="Arial"/>
        </w:rPr>
        <w:t>$</w:t>
      </w:r>
      <w:r w:rsidR="00E27863" w:rsidRPr="00377ED0">
        <w:rPr>
          <w:rFonts w:ascii="Arial" w:hAnsi="Arial" w:cs="Arial"/>
        </w:rPr>
        <w:t>91,530,253.86</w:t>
      </w:r>
    </w:p>
    <w:p w14:paraId="5EFFBAE3" w14:textId="77777777" w:rsidR="00053271" w:rsidRPr="00377ED0" w:rsidRDefault="00053271" w:rsidP="00053271">
      <w:pPr>
        <w:spacing w:line="360" w:lineRule="auto"/>
        <w:rPr>
          <w:rFonts w:ascii="Arial" w:hAnsi="Arial" w:cs="Arial"/>
        </w:rPr>
      </w:pPr>
    </w:p>
    <w:p w14:paraId="13B17254" w14:textId="0992F7BC" w:rsidR="00053271" w:rsidRPr="00377ED0" w:rsidRDefault="00053271" w:rsidP="00053271">
      <w:pPr>
        <w:spacing w:line="360" w:lineRule="auto"/>
        <w:rPr>
          <w:rFonts w:ascii="Arial" w:hAnsi="Arial" w:cs="Arial"/>
        </w:rPr>
      </w:pPr>
      <w:r w:rsidRPr="00377ED0">
        <w:rPr>
          <w:rFonts w:ascii="Arial" w:hAnsi="Arial" w:cs="Arial"/>
          <w:b/>
        </w:rPr>
        <w:t>Muestra Auditada:</w:t>
      </w:r>
      <w:r w:rsidRPr="00377ED0">
        <w:rPr>
          <w:rFonts w:ascii="Arial" w:hAnsi="Arial" w:cs="Arial"/>
        </w:rPr>
        <w:t xml:space="preserve"> $</w:t>
      </w:r>
      <w:r w:rsidR="00E27863" w:rsidRPr="00377ED0">
        <w:rPr>
          <w:rFonts w:ascii="Arial" w:hAnsi="Arial" w:cs="Arial"/>
        </w:rPr>
        <w:t>87,538,978.12</w:t>
      </w:r>
    </w:p>
    <w:p w14:paraId="197BCE85" w14:textId="77777777" w:rsidR="00053271" w:rsidRPr="00377ED0" w:rsidRDefault="00053271" w:rsidP="00053271">
      <w:pPr>
        <w:spacing w:line="360" w:lineRule="auto"/>
        <w:rPr>
          <w:rFonts w:ascii="Arial" w:hAnsi="Arial" w:cs="Arial"/>
        </w:rPr>
      </w:pPr>
    </w:p>
    <w:p w14:paraId="3DAE7B2A" w14:textId="326682FA" w:rsidR="00053271" w:rsidRPr="009879F6" w:rsidRDefault="00053271" w:rsidP="00053271">
      <w:pPr>
        <w:spacing w:line="360" w:lineRule="auto"/>
        <w:rPr>
          <w:rFonts w:ascii="Arial" w:hAnsi="Arial" w:cs="Arial"/>
        </w:rPr>
      </w:pPr>
      <w:r w:rsidRPr="00377ED0">
        <w:rPr>
          <w:rFonts w:ascii="Arial" w:hAnsi="Arial" w:cs="Arial"/>
          <w:b/>
        </w:rPr>
        <w:t>Representatividad de la Muestra:</w:t>
      </w:r>
      <w:r w:rsidRPr="00377ED0">
        <w:rPr>
          <w:rFonts w:ascii="Arial" w:hAnsi="Arial" w:cs="Arial"/>
        </w:rPr>
        <w:t xml:space="preserve"> </w:t>
      </w:r>
      <w:r w:rsidR="00E27863" w:rsidRPr="00377ED0">
        <w:rPr>
          <w:rFonts w:ascii="Arial" w:hAnsi="Arial" w:cs="Arial"/>
        </w:rPr>
        <w:t>95.64</w:t>
      </w:r>
      <w:r w:rsidRPr="00377ED0">
        <w:rPr>
          <w:rFonts w:ascii="Arial" w:hAnsi="Arial" w:cs="Arial"/>
        </w:rPr>
        <w:t>%</w:t>
      </w:r>
    </w:p>
    <w:p w14:paraId="69B7D299" w14:textId="77777777" w:rsidR="00053271" w:rsidRDefault="00053271" w:rsidP="00053271">
      <w:pPr>
        <w:spacing w:line="360" w:lineRule="auto"/>
        <w:jc w:val="both"/>
        <w:rPr>
          <w:rFonts w:ascii="Arial" w:hAnsi="Arial" w:cs="Arial"/>
        </w:rPr>
      </w:pPr>
    </w:p>
    <w:p w14:paraId="4C171757" w14:textId="41452358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total del Universo están considerados los recursos federales por la cantidad de </w:t>
      </w:r>
      <w:r w:rsidRPr="00377ED0">
        <w:rPr>
          <w:rFonts w:ascii="Arial" w:hAnsi="Arial" w:cs="Arial"/>
        </w:rPr>
        <w:t>$</w:t>
      </w:r>
      <w:r w:rsidR="00E27863" w:rsidRPr="00377ED0">
        <w:rPr>
          <w:rFonts w:ascii="Arial" w:hAnsi="Arial" w:cs="Arial"/>
        </w:rPr>
        <w:t>56,098,442.63</w:t>
      </w:r>
      <w:r w:rsidRPr="00423743">
        <w:rPr>
          <w:rFonts w:ascii="Arial" w:hAnsi="Arial" w:cs="Arial"/>
        </w:rPr>
        <w:t xml:space="preserve"> 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 y propios</w:t>
      </w:r>
      <w:r w:rsidRPr="005B606A">
        <w:rPr>
          <w:rFonts w:ascii="Arial" w:hAnsi="Arial" w:cs="Arial"/>
        </w:rPr>
        <w:t>.</w:t>
      </w:r>
    </w:p>
    <w:p w14:paraId="2CE743B1" w14:textId="77777777" w:rsidR="00053271" w:rsidRDefault="00053271" w:rsidP="00053271">
      <w:pPr>
        <w:spacing w:line="360" w:lineRule="auto"/>
        <w:jc w:val="both"/>
        <w:rPr>
          <w:rFonts w:ascii="Arial" w:hAnsi="Arial" w:cs="Arial"/>
        </w:rPr>
      </w:pPr>
    </w:p>
    <w:p w14:paraId="3F1CA409" w14:textId="1DA6DAD6" w:rsidR="00053271" w:rsidRPr="009879F6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gastos devengados</w:t>
      </w:r>
      <w:r w:rsidRPr="009879F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forman parte del Estado Analítico del Ejercicio del Presupuesto de Egresos por Objeto del Gasto,</w:t>
      </w:r>
      <w:r>
        <w:rPr>
          <w:rFonts w:ascii="Arial" w:hAnsi="Arial" w:cs="Arial"/>
          <w:b/>
          <w:i/>
        </w:rPr>
        <w:t xml:space="preserve">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</w:t>
      </w:r>
      <w:r w:rsidR="00906A2A">
        <w:rPr>
          <w:rFonts w:ascii="Arial" w:hAnsi="Arial" w:cs="Arial"/>
          <w:bCs/>
        </w:rPr>
        <w:t>.</w:t>
      </w:r>
    </w:p>
    <w:p w14:paraId="48CDB2BA" w14:textId="77777777" w:rsidR="00053271" w:rsidRPr="00617472" w:rsidRDefault="00053271" w:rsidP="0005327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3A4802AF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779BD68D" w14:textId="77777777" w:rsidR="00053271" w:rsidRDefault="00053271" w:rsidP="0005327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082DD67" w14:textId="73A15F01" w:rsidR="00053271" w:rsidRPr="009879F6" w:rsidRDefault="00053271" w:rsidP="0005327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="003E61A4">
        <w:rPr>
          <w:rFonts w:ascii="Arial" w:hAnsi="Arial" w:cs="Arial"/>
          <w:bCs/>
        </w:rPr>
        <w:lastRenderedPageBreak/>
        <w:t>de los</w:t>
      </w:r>
      <w:r>
        <w:rPr>
          <w:rFonts w:ascii="Arial" w:hAnsi="Arial" w:cs="Arial"/>
        </w:rPr>
        <w:t xml:space="preserve"> gastos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7748DC3" w14:textId="77777777" w:rsidR="00053271" w:rsidRPr="009879F6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6F4769" w14:textId="1CC139E2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</w:t>
      </w:r>
      <w:r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0303B4">
        <w:rPr>
          <w:rFonts w:ascii="Arial" w:hAnsi="Arial" w:cs="Arial"/>
          <w:b/>
          <w:bCs/>
        </w:rPr>
        <w:t>Instituto de la Cultura y las Artes de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</w:t>
      </w:r>
      <w:r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>
        <w:rPr>
          <w:rFonts w:ascii="Arial" w:hAnsi="Arial" w:cs="Arial"/>
          <w:bCs/>
        </w:rPr>
        <w:t xml:space="preserve"> </w:t>
      </w:r>
      <w:r w:rsidRPr="00FA7016">
        <w:rPr>
          <w:rFonts w:ascii="Arial" w:hAnsi="Arial" w:cs="Arial"/>
          <w:bCs/>
        </w:rPr>
        <w:t>y programáticos</w:t>
      </w:r>
      <w:r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>servancia de la información</w:t>
      </w:r>
      <w:r w:rsidRPr="00BC1636">
        <w:rPr>
          <w:rFonts w:ascii="Arial" w:hAnsi="Arial" w:cs="Arial"/>
        </w:rPr>
        <w:t xml:space="preserve"> histórica</w:t>
      </w:r>
      <w:r>
        <w:rPr>
          <w:rFonts w:ascii="Arial" w:hAnsi="Arial" w:cs="Arial"/>
          <w:bCs/>
        </w:rPr>
        <w:t xml:space="preserve">, </w:t>
      </w:r>
      <w:r w:rsidRPr="00BC1636">
        <w:rPr>
          <w:rFonts w:ascii="Arial" w:hAnsi="Arial" w:cs="Arial"/>
          <w:bCs/>
        </w:rPr>
        <w:t xml:space="preserve">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1134B40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C3ADABA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329425B9" w14:textId="77777777" w:rsidR="00053271" w:rsidRPr="008D4630" w:rsidRDefault="00053271" w:rsidP="00053271">
      <w:pPr>
        <w:spacing w:line="360" w:lineRule="auto"/>
        <w:jc w:val="both"/>
        <w:rPr>
          <w:rFonts w:ascii="Arial" w:hAnsi="Arial" w:cs="Arial"/>
          <w:b/>
        </w:rPr>
      </w:pPr>
      <w:r w:rsidRPr="00020AC6">
        <w:rPr>
          <w:rFonts w:ascii="Arial" w:hAnsi="Arial" w:cs="Arial"/>
          <w:b/>
        </w:rPr>
        <w:lastRenderedPageBreak/>
        <w:t>E. Áreas Revisadas</w:t>
      </w:r>
    </w:p>
    <w:p w14:paraId="7877E76C" w14:textId="77777777" w:rsidR="00053271" w:rsidRPr="008D4630" w:rsidRDefault="00053271" w:rsidP="00053271">
      <w:pPr>
        <w:spacing w:line="360" w:lineRule="auto"/>
        <w:jc w:val="both"/>
        <w:rPr>
          <w:rFonts w:ascii="Arial" w:hAnsi="Arial" w:cs="Arial"/>
          <w:b/>
        </w:rPr>
      </w:pPr>
    </w:p>
    <w:p w14:paraId="32640F4C" w14:textId="77777777" w:rsidR="00020AC6" w:rsidRDefault="00020AC6" w:rsidP="00020AC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A5164">
        <w:rPr>
          <w:rFonts w:ascii="Arial" w:hAnsi="Arial" w:cs="Arial"/>
        </w:rPr>
        <w:t xml:space="preserve">Se revisaron la Dirección General y la Dirección de Administración, Planeación y Gestión Cultural del </w:t>
      </w:r>
      <w:r w:rsidRPr="003A5164">
        <w:rPr>
          <w:rFonts w:ascii="Arial" w:hAnsi="Arial" w:cs="Arial"/>
          <w:b/>
          <w:bCs/>
        </w:rPr>
        <w:t>Instituto de la Cultura y las Artes de Quintana Roo.</w:t>
      </w:r>
    </w:p>
    <w:p w14:paraId="3AEE9410" w14:textId="77777777" w:rsidR="00053271" w:rsidRPr="008D4630" w:rsidRDefault="00053271" w:rsidP="00053271">
      <w:pPr>
        <w:spacing w:line="360" w:lineRule="auto"/>
        <w:jc w:val="both"/>
        <w:rPr>
          <w:rFonts w:ascii="Arial" w:hAnsi="Arial" w:cs="Arial"/>
        </w:rPr>
      </w:pPr>
    </w:p>
    <w:p w14:paraId="6DB30260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76F118B" w14:textId="77777777" w:rsidR="00053271" w:rsidRPr="00E66F94" w:rsidRDefault="00053271" w:rsidP="00053271">
      <w:pPr>
        <w:spacing w:line="360" w:lineRule="auto"/>
        <w:jc w:val="both"/>
        <w:rPr>
          <w:rFonts w:ascii="Arial" w:hAnsi="Arial" w:cs="Arial"/>
          <w:b/>
        </w:rPr>
      </w:pPr>
    </w:p>
    <w:p w14:paraId="4B00ADEE" w14:textId="77777777" w:rsidR="00053271" w:rsidRPr="00C47B98" w:rsidRDefault="00053271" w:rsidP="0005327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41D5248" w14:textId="77777777" w:rsidR="00053271" w:rsidRPr="00C47B98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23EA97A8" w14:textId="77777777" w:rsidR="00053271" w:rsidRPr="00C47B98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79C8D97A" w14:textId="77777777" w:rsidR="00053271" w:rsidRPr="00C47B98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294C082B" w14:textId="77777777" w:rsidR="00053271" w:rsidRPr="00C47B98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lastRenderedPageBreak/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4E2345B" w14:textId="77777777" w:rsidR="00053271" w:rsidRPr="00C47B98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54FF85FC" w14:textId="77777777" w:rsidR="00053271" w:rsidRPr="00B22BD5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69C40935" w14:textId="77777777" w:rsidR="00053271" w:rsidRPr="00B22BD5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20A22F57" w14:textId="77777777" w:rsidR="00053271" w:rsidRPr="003D4DBC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3D4DBC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08FEE477" w14:textId="77777777" w:rsidR="00053271" w:rsidRPr="003D4DBC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141BEB2A" w14:textId="32CF8773" w:rsidR="00053271" w:rsidRDefault="00020AC6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3D4DBC">
        <w:rPr>
          <w:rFonts w:ascii="Arial" w:hAnsi="Arial" w:cs="Arial"/>
        </w:rPr>
        <w:t>2</w:t>
      </w:r>
      <w:r w:rsidR="00053271" w:rsidRPr="003D4DBC">
        <w:rPr>
          <w:rFonts w:ascii="Arial" w:hAnsi="Arial" w:cs="Arial"/>
        </w:rPr>
        <w:t>. Comprobar que el ejercicio del presupuesto se ajustó a los montos aprobados; que las modificaciones presupuestales tuvieron sustento financiero y qu</w:t>
      </w:r>
      <w:r w:rsidR="00224CA5">
        <w:rPr>
          <w:rFonts w:ascii="Arial" w:hAnsi="Arial" w:cs="Arial"/>
        </w:rPr>
        <w:t>e fueron aprobadas por quien es</w:t>
      </w:r>
      <w:r w:rsidR="00053271" w:rsidRPr="003D4DBC">
        <w:rPr>
          <w:rFonts w:ascii="Arial" w:hAnsi="Arial" w:cs="Arial"/>
        </w:rPr>
        <w:t xml:space="preserve"> competente para ello.</w:t>
      </w:r>
    </w:p>
    <w:p w14:paraId="5E8C233D" w14:textId="77777777" w:rsidR="002B5C32" w:rsidRPr="003D4DBC" w:rsidRDefault="002B5C32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61357537" w14:textId="557C6CC0" w:rsidR="00053271" w:rsidRPr="003D4DBC" w:rsidRDefault="00020AC6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3D4DBC">
        <w:rPr>
          <w:rFonts w:ascii="Arial" w:hAnsi="Arial" w:cs="Arial"/>
        </w:rPr>
        <w:t>3</w:t>
      </w:r>
      <w:r w:rsidR="00053271" w:rsidRPr="003D4DBC">
        <w:rPr>
          <w:rFonts w:ascii="Arial" w:hAnsi="Arial" w:cs="Arial"/>
        </w:rPr>
        <w:t>. Examinar que los pasivos correspondieron a obligaciones reales y que fueron amortizados.</w:t>
      </w:r>
    </w:p>
    <w:p w14:paraId="5ADE99A4" w14:textId="77777777" w:rsidR="00053271" w:rsidRPr="003D4DBC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28B9208A" w14:textId="6C801196" w:rsidR="00053271" w:rsidRPr="003D4DBC" w:rsidRDefault="00020AC6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3D4DBC">
        <w:rPr>
          <w:rFonts w:ascii="Arial" w:hAnsi="Arial" w:cs="Arial"/>
        </w:rPr>
        <w:t>4</w:t>
      </w:r>
      <w:r w:rsidR="00053271" w:rsidRPr="003D4DBC">
        <w:rPr>
          <w:rFonts w:ascii="Arial" w:hAnsi="Arial" w:cs="Arial"/>
        </w:rPr>
        <w:t xml:space="preserve">. Examinar que se comprobó y justificó el gasto por los diferentes conceptos considerados en los respectivos presupuestos de egresos. </w:t>
      </w:r>
    </w:p>
    <w:p w14:paraId="6122208D" w14:textId="77777777" w:rsidR="00053271" w:rsidRPr="003D4DBC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7547B9EE" w14:textId="3D942E52" w:rsidR="00053271" w:rsidRPr="003D4DBC" w:rsidRDefault="00020AC6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3D4DBC">
        <w:rPr>
          <w:rFonts w:ascii="Arial" w:hAnsi="Arial" w:cs="Arial"/>
        </w:rPr>
        <w:t>5</w:t>
      </w:r>
      <w:r w:rsidR="00053271" w:rsidRPr="003D4DBC">
        <w:rPr>
          <w:rFonts w:ascii="Arial" w:hAnsi="Arial" w:cs="Arial"/>
        </w:rPr>
        <w:t>.  Verificar que la integración de expedientes de adquisición de bienes y contratación de servicios se hayan realizado en cumplimiento a las normas establecidas.</w:t>
      </w:r>
    </w:p>
    <w:p w14:paraId="5BB4D133" w14:textId="77777777" w:rsidR="00053271" w:rsidRPr="003D4DBC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42CA878A" w14:textId="3F748C10" w:rsidR="00053271" w:rsidRDefault="00020AC6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3D4DBC">
        <w:rPr>
          <w:rFonts w:ascii="Arial" w:hAnsi="Arial" w:cs="Arial"/>
        </w:rPr>
        <w:lastRenderedPageBreak/>
        <w:t>6</w:t>
      </w:r>
      <w:r w:rsidR="00053271" w:rsidRPr="003D4DBC">
        <w:rPr>
          <w:rFonts w:ascii="Arial" w:hAnsi="Arial" w:cs="Arial"/>
        </w:rPr>
        <w:t xml:space="preserve">. Revisar la correcta revelación de Estados Financieros e informes contables de conformidad con la Ley General de Contabilidad Gubernamental y demás normatividad aplicable. </w:t>
      </w:r>
    </w:p>
    <w:p w14:paraId="752E18BA" w14:textId="4551104B" w:rsidR="00752CEF" w:rsidRDefault="00752CEF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6EBE9631" w14:textId="59425C3E" w:rsidR="00053271" w:rsidRDefault="00752CEF" w:rsidP="0005327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52CEF">
        <w:rPr>
          <w:rFonts w:ascii="Arial" w:hAnsi="Arial" w:cs="Arial"/>
        </w:rPr>
        <w:t xml:space="preserve">. Revisar </w:t>
      </w:r>
      <w:r>
        <w:rPr>
          <w:rFonts w:ascii="Arial" w:hAnsi="Arial" w:cs="Arial"/>
        </w:rPr>
        <w:t>que la contratación de servicios personales se ajustó a la disponibilidad y plazas presupuestales aprobadas, que la relación laboral se apegó a las disposiciones legales aplicables en la materia y que el personal realizó la función para la cual fue contratado.</w:t>
      </w:r>
    </w:p>
    <w:p w14:paraId="61D996A8" w14:textId="77777777" w:rsidR="00752CEF" w:rsidRPr="003D4DBC" w:rsidRDefault="00752CEF" w:rsidP="00053271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2094C692" w14:textId="77777777" w:rsidR="00053271" w:rsidRPr="00C47B98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D4DBC">
        <w:rPr>
          <w:rFonts w:ascii="Arial" w:hAnsi="Arial" w:cs="Arial"/>
          <w:bCs/>
        </w:rPr>
        <w:t xml:space="preserve">La fiscalización se realizó conforme a los principios de legalidad, </w:t>
      </w:r>
      <w:proofErr w:type="spellStart"/>
      <w:r w:rsidRPr="003D4DBC">
        <w:rPr>
          <w:rFonts w:ascii="Arial" w:hAnsi="Arial" w:cs="Arial"/>
          <w:bCs/>
        </w:rPr>
        <w:t>definitividad</w:t>
      </w:r>
      <w:proofErr w:type="spellEnd"/>
      <w:r w:rsidRPr="003D4DBC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14:paraId="069290C1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75F711BD" w14:textId="77777777" w:rsidR="00053271" w:rsidRPr="002E2A36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22706EB5" w14:textId="77777777" w:rsidR="00053271" w:rsidRPr="002E2A36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E53D0B9" w14:textId="214296D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>mitida con oficio número</w:t>
      </w:r>
      <w:r w:rsidR="000303B4">
        <w:rPr>
          <w:rFonts w:ascii="Arial" w:hAnsi="Arial" w:cs="Arial"/>
          <w:bCs/>
        </w:rPr>
        <w:t xml:space="preserve"> ASEQROO/ASE/AEMF/0748</w:t>
      </w:r>
      <w:r w:rsidR="00F81C45">
        <w:rPr>
          <w:rFonts w:ascii="Arial" w:hAnsi="Arial" w:cs="Arial"/>
          <w:bCs/>
        </w:rPr>
        <w:t>/07</w:t>
      </w:r>
      <w:r>
        <w:rPr>
          <w:rFonts w:ascii="Arial" w:hAnsi="Arial" w:cs="Arial"/>
          <w:bCs/>
        </w:rPr>
        <w:t>/2023</w:t>
      </w:r>
      <w:r w:rsidRPr="0004250B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007B212D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32"/>
        <w:gridCol w:w="3261"/>
      </w:tblGrid>
      <w:tr w:rsidR="00053271" w:rsidRPr="00845B1A" w14:paraId="2C668145" w14:textId="77777777" w:rsidTr="002B5C32">
        <w:trPr>
          <w:tblHeader/>
        </w:trPr>
        <w:tc>
          <w:tcPr>
            <w:tcW w:w="6232" w:type="dxa"/>
            <w:shd w:val="clear" w:color="auto" w:fill="D0CECE" w:themeFill="background2" w:themeFillShade="E6"/>
          </w:tcPr>
          <w:p w14:paraId="0EB47845" w14:textId="77777777" w:rsidR="00053271" w:rsidRPr="00845B1A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3C769608" w14:textId="77777777" w:rsidR="00053271" w:rsidRPr="00845B1A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53271" w:rsidRPr="00845B1A" w14:paraId="75EDBCB3" w14:textId="77777777" w:rsidTr="002B5C32">
        <w:tc>
          <w:tcPr>
            <w:tcW w:w="6232" w:type="dxa"/>
            <w:shd w:val="clear" w:color="auto" w:fill="auto"/>
          </w:tcPr>
          <w:p w14:paraId="7379F374" w14:textId="77777777" w:rsidR="00053271" w:rsidRPr="00845B1A" w:rsidRDefault="00053271" w:rsidP="00D0404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Manuel Jesús Brito Rosado</w:t>
            </w:r>
          </w:p>
        </w:tc>
        <w:tc>
          <w:tcPr>
            <w:tcW w:w="3261" w:type="dxa"/>
            <w:shd w:val="clear" w:color="auto" w:fill="auto"/>
          </w:tcPr>
          <w:p w14:paraId="287D9C9B" w14:textId="77777777" w:rsidR="00053271" w:rsidRPr="00845B1A" w:rsidRDefault="00053271" w:rsidP="00D0404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053271" w:rsidRPr="00845B1A" w14:paraId="718B4303" w14:textId="77777777" w:rsidTr="002B5C32">
        <w:tc>
          <w:tcPr>
            <w:tcW w:w="6232" w:type="dxa"/>
            <w:shd w:val="clear" w:color="auto" w:fill="auto"/>
          </w:tcPr>
          <w:p w14:paraId="3C6D096D" w14:textId="696F9B96" w:rsidR="00053271" w:rsidRPr="00845B1A" w:rsidRDefault="00053271" w:rsidP="00D0404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F81C45">
              <w:rPr>
                <w:rFonts w:ascii="Arial" w:hAnsi="Arial" w:cs="Arial"/>
                <w:bCs/>
              </w:rPr>
              <w:t>ud</w:t>
            </w:r>
            <w:proofErr w:type="spellEnd"/>
            <w:r w:rsidR="00F81C45">
              <w:rPr>
                <w:rFonts w:ascii="Arial" w:hAnsi="Arial" w:cs="Arial"/>
                <w:bCs/>
              </w:rPr>
              <w:t>. Landy María Cel Be</w:t>
            </w:r>
          </w:p>
        </w:tc>
        <w:tc>
          <w:tcPr>
            <w:tcW w:w="3261" w:type="dxa"/>
            <w:shd w:val="clear" w:color="auto" w:fill="auto"/>
          </w:tcPr>
          <w:p w14:paraId="3E0F71BD" w14:textId="5D91236E" w:rsidR="00053271" w:rsidRPr="00845B1A" w:rsidRDefault="004D0AB5" w:rsidP="00F81C4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Supervisora Encargada </w:t>
            </w:r>
          </w:p>
        </w:tc>
      </w:tr>
    </w:tbl>
    <w:p w14:paraId="6106BA90" w14:textId="5FF13F54" w:rsidR="00053271" w:rsidRPr="00845B1A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A0510">
        <w:rPr>
          <w:rFonts w:ascii="Arial" w:hAnsi="Arial" w:cs="Arial"/>
          <w:b/>
        </w:rPr>
        <w:lastRenderedPageBreak/>
        <w:t>I</w:t>
      </w:r>
      <w:r w:rsidR="00764DF6" w:rsidRPr="001A0510">
        <w:rPr>
          <w:rFonts w:ascii="Arial" w:hAnsi="Arial" w:cs="Arial"/>
          <w:b/>
        </w:rPr>
        <w:t>I</w:t>
      </w:r>
      <w:r w:rsidRPr="001A0510">
        <w:rPr>
          <w:rFonts w:ascii="Arial" w:hAnsi="Arial" w:cs="Arial"/>
          <w:b/>
        </w:rPr>
        <w:t>.2. CUMPLIMIENTO DE DISPOSICIONES LEGALES Y NORMATIVAS</w:t>
      </w:r>
    </w:p>
    <w:p w14:paraId="5A3004B9" w14:textId="77777777" w:rsidR="00053271" w:rsidRPr="00845B1A" w:rsidRDefault="00053271" w:rsidP="00053271">
      <w:pPr>
        <w:spacing w:line="360" w:lineRule="auto"/>
        <w:ind w:right="48"/>
        <w:jc w:val="both"/>
        <w:rPr>
          <w:rFonts w:ascii="Arial" w:hAnsi="Arial" w:cs="Arial"/>
        </w:rPr>
      </w:pPr>
    </w:p>
    <w:p w14:paraId="7F3201F3" w14:textId="58560028" w:rsidR="00053271" w:rsidRPr="00845B1A" w:rsidRDefault="00053271" w:rsidP="0005327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752CEF">
        <w:rPr>
          <w:rFonts w:ascii="Arial" w:hAnsi="Arial" w:cs="Arial"/>
        </w:rPr>
        <w:t>de Contabilidad Gubernamental,</w:t>
      </w:r>
      <w:r>
        <w:rPr>
          <w:rFonts w:ascii="Arial" w:hAnsi="Arial" w:cs="Arial"/>
          <w:bCs/>
        </w:rPr>
        <w:t xml:space="preserve"> al Presupuesto de Egresos del Gobierno del Estado de Quintana Roo para el ejercicio fiscal 2022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</w:t>
      </w:r>
      <w:r>
        <w:rPr>
          <w:rFonts w:ascii="Arial" w:hAnsi="Arial" w:cs="Arial"/>
        </w:rPr>
        <w:t>,</w:t>
      </w:r>
      <w:r w:rsidRPr="0092342F">
        <w:rPr>
          <w:rFonts w:ascii="Arial" w:hAnsi="Arial" w:cs="Arial"/>
        </w:rPr>
        <w:t xml:space="preserve"> </w:t>
      </w:r>
      <w:r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68FD0E1" w14:textId="77777777" w:rsidR="00053271" w:rsidRPr="00845B1A" w:rsidRDefault="00053271" w:rsidP="00053271">
      <w:pPr>
        <w:spacing w:line="360" w:lineRule="auto"/>
        <w:ind w:right="48"/>
        <w:jc w:val="both"/>
        <w:rPr>
          <w:rFonts w:ascii="Arial" w:hAnsi="Arial" w:cs="Arial"/>
        </w:rPr>
      </w:pPr>
    </w:p>
    <w:p w14:paraId="664D30C9" w14:textId="77777777" w:rsidR="00053271" w:rsidRPr="00845B1A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3A55822F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D7025E1" w14:textId="00E4E63E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47AE">
        <w:rPr>
          <w:rFonts w:ascii="Arial" w:hAnsi="Arial" w:cs="Arial"/>
          <w:bCs/>
        </w:rPr>
        <w:t xml:space="preserve">Se constató el cumplimiento de la Ley General de Contabilidad Gubernamental, </w:t>
      </w:r>
      <w:r w:rsidR="00B566C3">
        <w:rPr>
          <w:rFonts w:ascii="Arial" w:hAnsi="Arial" w:cs="Arial"/>
          <w:bCs/>
        </w:rPr>
        <w:t>d</w:t>
      </w:r>
      <w:r w:rsidRPr="002A47AE">
        <w:rPr>
          <w:rFonts w:ascii="Arial" w:hAnsi="Arial" w:cs="Arial"/>
          <w:bCs/>
        </w:rPr>
        <w:t>el Presupuesto de Egresos del Gobierno del Estado de Quintana Roo para el ejercicio fiscal</w:t>
      </w:r>
      <w:r>
        <w:rPr>
          <w:rFonts w:ascii="Arial" w:hAnsi="Arial" w:cs="Arial"/>
          <w:bCs/>
        </w:rPr>
        <w:t xml:space="preserve"> </w:t>
      </w:r>
      <w:r w:rsidRPr="00A8033D">
        <w:rPr>
          <w:rFonts w:ascii="Arial" w:hAnsi="Arial" w:cs="Arial"/>
          <w:bCs/>
        </w:rPr>
        <w:t>2022, así como de lo emitido por el Consejo Nacional de Armonización Contable (CONAC), y demás disposiciones legales y normativas aplicables</w:t>
      </w:r>
      <w:r w:rsidR="00DE4CB1" w:rsidRPr="00A8033D">
        <w:rPr>
          <w:rFonts w:ascii="Arial" w:hAnsi="Arial" w:cs="Arial"/>
          <w:bCs/>
        </w:rPr>
        <w:t>, excepto por las acciones emitidas en el punto II.3 apartado A</w:t>
      </w:r>
      <w:r w:rsidR="002A47AE" w:rsidRPr="00A8033D">
        <w:rPr>
          <w:rFonts w:ascii="Arial" w:hAnsi="Arial" w:cs="Arial"/>
          <w:bCs/>
        </w:rPr>
        <w:t xml:space="preserve"> consistentes en</w:t>
      </w:r>
      <w:r w:rsidR="00A8033D" w:rsidRPr="00A8033D">
        <w:rPr>
          <w:rFonts w:ascii="Arial" w:hAnsi="Arial" w:cs="Arial"/>
          <w:bCs/>
        </w:rPr>
        <w:t xml:space="preserve"> </w:t>
      </w:r>
      <w:r w:rsidR="002A47AE" w:rsidRPr="00A8033D">
        <w:rPr>
          <w:rFonts w:ascii="Arial" w:hAnsi="Arial" w:cs="Arial"/>
          <w:bCs/>
        </w:rPr>
        <w:t>4 Pliegos de Observaciones</w:t>
      </w:r>
      <w:r w:rsidRPr="00A8033D">
        <w:rPr>
          <w:rFonts w:ascii="Arial" w:hAnsi="Arial" w:cs="Arial"/>
          <w:bCs/>
        </w:rPr>
        <w:t>.</w:t>
      </w:r>
      <w:r w:rsidRPr="00626EF1">
        <w:rPr>
          <w:rFonts w:ascii="Arial" w:hAnsi="Arial" w:cs="Arial"/>
          <w:bCs/>
        </w:rPr>
        <w:t xml:space="preserve"> </w:t>
      </w:r>
    </w:p>
    <w:p w14:paraId="526A1CA7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BDA0C82" w14:textId="5C46375F" w:rsidR="00053271" w:rsidRPr="00A05588" w:rsidRDefault="00764DF6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53271">
        <w:rPr>
          <w:rFonts w:ascii="Arial" w:hAnsi="Arial" w:cs="Arial"/>
          <w:b/>
        </w:rPr>
        <w:t>I.3</w:t>
      </w:r>
      <w:r w:rsidR="00053271" w:rsidRPr="00A05588">
        <w:rPr>
          <w:rFonts w:ascii="Arial" w:hAnsi="Arial" w:cs="Arial"/>
          <w:b/>
        </w:rPr>
        <w:t>. RESULTADOS DE LA FISCALIZACIÓN EFECTUADA</w:t>
      </w:r>
    </w:p>
    <w:p w14:paraId="071EA8E7" w14:textId="77777777" w:rsidR="00053271" w:rsidRDefault="00053271" w:rsidP="00053271">
      <w:pPr>
        <w:spacing w:line="360" w:lineRule="auto"/>
        <w:jc w:val="both"/>
        <w:rPr>
          <w:rFonts w:ascii="Arial" w:hAnsi="Arial" w:cs="Arial"/>
        </w:rPr>
      </w:pPr>
    </w:p>
    <w:p w14:paraId="3E4258F2" w14:textId="1087CBB5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>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durante este proceso de fiscalización se </w:t>
      </w:r>
      <w:r w:rsidRPr="004C3B3B">
        <w:rPr>
          <w:rFonts w:ascii="Arial" w:hAnsi="Arial" w:cs="Arial"/>
        </w:rPr>
        <w:lastRenderedPageBreak/>
        <w:t xml:space="preserve">presentaron </w:t>
      </w:r>
      <w:r w:rsidR="004B30CD" w:rsidRPr="004C3B3B">
        <w:rPr>
          <w:rFonts w:ascii="Arial" w:hAnsi="Arial" w:cs="Arial"/>
          <w:b/>
        </w:rPr>
        <w:t>7</w:t>
      </w:r>
      <w:r w:rsidRPr="004C3B3B">
        <w:rPr>
          <w:rFonts w:ascii="Arial" w:hAnsi="Arial" w:cs="Arial"/>
        </w:rPr>
        <w:t xml:space="preserve"> resultados finales de auditoría y se determinaron </w:t>
      </w:r>
      <w:r w:rsidR="004B30CD" w:rsidRPr="004C3B3B">
        <w:rPr>
          <w:rFonts w:ascii="Arial" w:hAnsi="Arial" w:cs="Arial"/>
          <w:b/>
        </w:rPr>
        <w:t>8</w:t>
      </w:r>
      <w:r w:rsidRPr="004C3B3B">
        <w:rPr>
          <w:rFonts w:ascii="Arial" w:hAnsi="Arial" w:cs="Arial"/>
        </w:rPr>
        <w:t xml:space="preserve"> observaciones</w:t>
      </w:r>
      <w:r w:rsidR="00F84B9F" w:rsidRPr="002251EE">
        <w:rPr>
          <w:rFonts w:ascii="Arial" w:hAnsi="Arial" w:cs="Arial"/>
        </w:rPr>
        <w:t>, de las cuales 8</w:t>
      </w:r>
      <w:r w:rsidRPr="002251EE">
        <w:rPr>
          <w:rFonts w:ascii="Arial" w:hAnsi="Arial" w:cs="Arial"/>
        </w:rPr>
        <w:t xml:space="preserve"> se encuentran pendien</w:t>
      </w:r>
      <w:r w:rsidR="00F84B9F" w:rsidRPr="002251EE">
        <w:rPr>
          <w:rFonts w:ascii="Arial" w:hAnsi="Arial" w:cs="Arial"/>
        </w:rPr>
        <w:t>tes de solventar; emitiéndose 2 solicitudes de aclaración, 4 pliegos de observaciones y 2</w:t>
      </w:r>
      <w:r w:rsidRPr="002251EE">
        <w:rPr>
          <w:rFonts w:ascii="Arial" w:hAnsi="Arial" w:cs="Arial"/>
        </w:rPr>
        <w:t xml:space="preserve"> recomendaciones</w:t>
      </w:r>
      <w:r w:rsidR="00F84B9F" w:rsidRPr="002251EE">
        <w:rPr>
          <w:rFonts w:ascii="Arial" w:hAnsi="Arial" w:cs="Arial"/>
        </w:rPr>
        <w:t xml:space="preserve"> </w:t>
      </w:r>
      <w:r w:rsidRPr="002251EE">
        <w:rPr>
          <w:rFonts w:ascii="Arial" w:hAnsi="Arial" w:cs="Arial"/>
        </w:rPr>
        <w:t>.</w:t>
      </w:r>
    </w:p>
    <w:p w14:paraId="125B0A24" w14:textId="77777777" w:rsidR="00053271" w:rsidRDefault="00053271" w:rsidP="00053271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49A0D2D5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14:paraId="39C5015B" w14:textId="77777777" w:rsidR="00053271" w:rsidRPr="00C404BF" w:rsidRDefault="00053271" w:rsidP="00053271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55D1E0F1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</w:rPr>
        <w:t xml:space="preserve">En cumplimiento al artículo 38 fracción V de la Ley de Fiscalización y Rendición de Cuentas del Estado de Quintana Roo, y </w:t>
      </w:r>
      <w:r>
        <w:rPr>
          <w:rFonts w:ascii="Arial" w:hAnsi="Arial" w:cs="Arial"/>
        </w:rPr>
        <w:t xml:space="preserve">derivado del proceso de fiscalización al ente auditado se determinaron resultados finales de auditoría y observaciones en materia financiera, </w:t>
      </w:r>
      <w:r w:rsidRPr="009607C7">
        <w:rPr>
          <w:rFonts w:ascii="Arial" w:hAnsi="Arial" w:cs="Arial"/>
        </w:rPr>
        <w:t>que d</w:t>
      </w:r>
      <w:r>
        <w:rPr>
          <w:rFonts w:ascii="Arial" w:hAnsi="Arial" w:cs="Arial"/>
        </w:rPr>
        <w:t>erivaron en la emisión de</w:t>
      </w:r>
      <w:r w:rsidRPr="00F503E1">
        <w:rPr>
          <w:rFonts w:ascii="Arial" w:hAnsi="Arial" w:cs="Arial"/>
        </w:rPr>
        <w:t xml:space="preserve"> recomendaciones</w:t>
      </w:r>
      <w:r>
        <w:rPr>
          <w:rFonts w:ascii="Arial" w:hAnsi="Arial" w:cs="Arial"/>
        </w:rPr>
        <w:t xml:space="preserve">, </w:t>
      </w:r>
      <w:r w:rsidRPr="009607C7">
        <w:rPr>
          <w:rFonts w:ascii="Arial" w:hAnsi="Arial" w:cs="Arial"/>
        </w:rPr>
        <w:t>mismas que</w:t>
      </w:r>
      <w:r>
        <w:rPr>
          <w:rFonts w:ascii="Arial" w:hAnsi="Arial" w:cs="Arial"/>
        </w:rPr>
        <w:t xml:space="preserve"> se presentan en la tabla siguiente:</w:t>
      </w:r>
    </w:p>
    <w:p w14:paraId="18A44937" w14:textId="7FD8E13E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505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419"/>
        <w:gridCol w:w="3118"/>
        <w:gridCol w:w="1842"/>
      </w:tblGrid>
      <w:tr w:rsidR="00053271" w:rsidRPr="00D00953" w14:paraId="6F0ACFB5" w14:textId="77777777" w:rsidTr="002B5C32">
        <w:trPr>
          <w:tblHeader/>
        </w:trPr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2AC930FE" w14:textId="77777777" w:rsidR="00053271" w:rsidRPr="00D00953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953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749" w:type="pct"/>
            <w:shd w:val="clear" w:color="auto" w:fill="D0CECE" w:themeFill="background2" w:themeFillShade="E6"/>
            <w:vAlign w:val="center"/>
          </w:tcPr>
          <w:p w14:paraId="036944B0" w14:textId="77777777" w:rsidR="00053271" w:rsidRPr="00D00953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953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595" w:type="pct"/>
            <w:shd w:val="clear" w:color="auto" w:fill="D0CECE" w:themeFill="background2" w:themeFillShade="E6"/>
            <w:vAlign w:val="center"/>
          </w:tcPr>
          <w:p w14:paraId="787CC131" w14:textId="77777777" w:rsidR="00053271" w:rsidRPr="00D00953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953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942" w:type="pct"/>
            <w:shd w:val="clear" w:color="auto" w:fill="D0CECE" w:themeFill="background2" w:themeFillShade="E6"/>
            <w:vAlign w:val="center"/>
          </w:tcPr>
          <w:p w14:paraId="650C69E9" w14:textId="77777777" w:rsidR="00053271" w:rsidRPr="00D00953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953">
              <w:rPr>
                <w:rFonts w:ascii="Arial" w:hAnsi="Arial" w:cs="Arial"/>
                <w:b/>
                <w:sz w:val="16"/>
                <w:szCs w:val="16"/>
              </w:rPr>
              <w:t>Monto Observado/</w:t>
            </w:r>
          </w:p>
          <w:p w14:paraId="28480C41" w14:textId="77777777" w:rsidR="00053271" w:rsidRPr="00D00953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9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Acciones y Recomendaciones Emitidas </w:t>
            </w:r>
          </w:p>
        </w:tc>
      </w:tr>
      <w:tr w:rsidR="00053271" w:rsidRPr="00D00953" w14:paraId="05EDF346" w14:textId="77777777" w:rsidTr="002B5C32">
        <w:tc>
          <w:tcPr>
            <w:tcW w:w="714" w:type="pct"/>
          </w:tcPr>
          <w:p w14:paraId="0CCF5881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0983092F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749" w:type="pct"/>
          </w:tcPr>
          <w:p w14:paraId="03040C05" w14:textId="1896281E" w:rsidR="00053271" w:rsidRPr="00D00953" w:rsidRDefault="00586DB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Falta de reglamento interno y manuales administrativos que regulan al ente fiscalizado</w:t>
            </w:r>
          </w:p>
        </w:tc>
        <w:tc>
          <w:tcPr>
            <w:tcW w:w="1595" w:type="pct"/>
          </w:tcPr>
          <w:p w14:paraId="4D4DDB48" w14:textId="601F92BB" w:rsidR="00053271" w:rsidRPr="00D00953" w:rsidRDefault="00586DB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942" w:type="pct"/>
          </w:tcPr>
          <w:p w14:paraId="3EE22D3B" w14:textId="6274BE08" w:rsidR="00053271" w:rsidRPr="00D00953" w:rsidRDefault="00CD62C6" w:rsidP="00CD62C6">
            <w:pPr>
              <w:spacing w:line="360" w:lineRule="auto"/>
              <w:ind w:left="-168" w:right="-6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53271" w:rsidRPr="00D00953" w14:paraId="2CE679AA" w14:textId="77777777" w:rsidTr="002B5C32">
        <w:tc>
          <w:tcPr>
            <w:tcW w:w="714" w:type="pct"/>
          </w:tcPr>
          <w:p w14:paraId="149A78CF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Resultado:2</w:t>
            </w:r>
          </w:p>
          <w:p w14:paraId="05194F68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Observación:2</w:t>
            </w:r>
          </w:p>
        </w:tc>
        <w:tc>
          <w:tcPr>
            <w:tcW w:w="1749" w:type="pct"/>
          </w:tcPr>
          <w:p w14:paraId="3707F0B8" w14:textId="03DFB7FD" w:rsidR="00053271" w:rsidRPr="00D00953" w:rsidRDefault="000C465C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Sistema Institucional de Archivos</w:t>
            </w:r>
          </w:p>
        </w:tc>
        <w:tc>
          <w:tcPr>
            <w:tcW w:w="1595" w:type="pct"/>
          </w:tcPr>
          <w:p w14:paraId="46AA9591" w14:textId="1C757093" w:rsidR="00053271" w:rsidRPr="00D00953" w:rsidRDefault="000C465C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942" w:type="pct"/>
          </w:tcPr>
          <w:p w14:paraId="1938A389" w14:textId="4AA9AD21" w:rsidR="00053271" w:rsidRPr="00D00953" w:rsidRDefault="00CD62C6" w:rsidP="00D0404B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53271" w:rsidRPr="00D00953" w14:paraId="72E8AFB0" w14:textId="77777777" w:rsidTr="002B5C32">
        <w:tc>
          <w:tcPr>
            <w:tcW w:w="714" w:type="pct"/>
          </w:tcPr>
          <w:p w14:paraId="20D63FC2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Resultado:3</w:t>
            </w:r>
          </w:p>
          <w:p w14:paraId="5658B683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Observación:3</w:t>
            </w:r>
          </w:p>
        </w:tc>
        <w:tc>
          <w:tcPr>
            <w:tcW w:w="1749" w:type="pct"/>
          </w:tcPr>
          <w:p w14:paraId="245EB2E8" w14:textId="5C603BFC" w:rsidR="00053271" w:rsidRPr="00D00953" w:rsidRDefault="007410A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Pagos de servicio por tiempo determinado sin cumplirse el objeto del contrato.</w:t>
            </w:r>
          </w:p>
        </w:tc>
        <w:tc>
          <w:tcPr>
            <w:tcW w:w="1595" w:type="pct"/>
          </w:tcPr>
          <w:p w14:paraId="600236A9" w14:textId="09509F9C" w:rsidR="00053271" w:rsidRPr="00D00953" w:rsidRDefault="007410A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(2A) Pagos improcedentes o en exceso</w:t>
            </w:r>
          </w:p>
        </w:tc>
        <w:tc>
          <w:tcPr>
            <w:tcW w:w="942" w:type="pct"/>
          </w:tcPr>
          <w:p w14:paraId="7B635F7E" w14:textId="1236DA0E" w:rsidR="007410A1" w:rsidRPr="00D00953" w:rsidRDefault="007410A1" w:rsidP="007410A1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$2,872,972.00</w:t>
            </w:r>
          </w:p>
          <w:p w14:paraId="4FF7DD11" w14:textId="3D44E42C" w:rsidR="00053271" w:rsidRPr="00D00953" w:rsidRDefault="00A321AF" w:rsidP="00CD62C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</w:tc>
      </w:tr>
      <w:tr w:rsidR="00053271" w:rsidRPr="00D00953" w14:paraId="6A31D857" w14:textId="77777777" w:rsidTr="002B5C32">
        <w:tc>
          <w:tcPr>
            <w:tcW w:w="714" w:type="pct"/>
          </w:tcPr>
          <w:p w14:paraId="63A8DCF6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Resultado:4</w:t>
            </w:r>
          </w:p>
          <w:p w14:paraId="6031A41B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Observación:4</w:t>
            </w:r>
          </w:p>
        </w:tc>
        <w:tc>
          <w:tcPr>
            <w:tcW w:w="1749" w:type="pct"/>
          </w:tcPr>
          <w:p w14:paraId="6B71785F" w14:textId="63A20778" w:rsidR="00053271" w:rsidRPr="00D00953" w:rsidRDefault="007410A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Ausencia parcial de soporte documental comprobatorio del pago de nómina</w:t>
            </w:r>
          </w:p>
        </w:tc>
        <w:tc>
          <w:tcPr>
            <w:tcW w:w="1595" w:type="pct"/>
          </w:tcPr>
          <w:p w14:paraId="7B23C92C" w14:textId="2BF61270" w:rsidR="00053271" w:rsidRPr="00D00953" w:rsidRDefault="007410A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942" w:type="pct"/>
          </w:tcPr>
          <w:p w14:paraId="26E99625" w14:textId="6EB5CEE5" w:rsidR="00053271" w:rsidRPr="00D00953" w:rsidRDefault="007410A1" w:rsidP="00CD62C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</w:p>
        </w:tc>
      </w:tr>
      <w:tr w:rsidR="00053271" w:rsidRPr="00D00953" w14:paraId="55EF23BA" w14:textId="77777777" w:rsidTr="002B5C32">
        <w:tc>
          <w:tcPr>
            <w:tcW w:w="714" w:type="pct"/>
            <w:shd w:val="clear" w:color="auto" w:fill="auto"/>
          </w:tcPr>
          <w:p w14:paraId="154565B6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Resultado:5</w:t>
            </w:r>
          </w:p>
          <w:p w14:paraId="225BC45F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Observación:5</w:t>
            </w:r>
          </w:p>
        </w:tc>
        <w:tc>
          <w:tcPr>
            <w:tcW w:w="1749" w:type="pct"/>
          </w:tcPr>
          <w:p w14:paraId="35892E67" w14:textId="7B8C986E" w:rsidR="00053271" w:rsidRPr="00D00953" w:rsidRDefault="005A7B7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Inconsistencias entre la plantilla de personal y la nómina pagada</w:t>
            </w:r>
          </w:p>
        </w:tc>
        <w:tc>
          <w:tcPr>
            <w:tcW w:w="1595" w:type="pct"/>
          </w:tcPr>
          <w:p w14:paraId="6AC6009A" w14:textId="59BDF09C" w:rsidR="00053271" w:rsidRPr="00D00953" w:rsidRDefault="005A7B7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42" w:type="pct"/>
          </w:tcPr>
          <w:p w14:paraId="49121652" w14:textId="62AE148E" w:rsidR="00053271" w:rsidRPr="00D00953" w:rsidRDefault="005A7B70" w:rsidP="00CD62C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Solicitud de Aclaración</w:t>
            </w:r>
          </w:p>
        </w:tc>
      </w:tr>
      <w:tr w:rsidR="00053271" w:rsidRPr="00D00953" w14:paraId="166D052B" w14:textId="77777777" w:rsidTr="002B5C32">
        <w:tc>
          <w:tcPr>
            <w:tcW w:w="714" w:type="pct"/>
          </w:tcPr>
          <w:p w14:paraId="523A6B8A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Resultado:6</w:t>
            </w:r>
          </w:p>
          <w:p w14:paraId="263C6639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Observación:6</w:t>
            </w:r>
          </w:p>
        </w:tc>
        <w:tc>
          <w:tcPr>
            <w:tcW w:w="1749" w:type="pct"/>
          </w:tcPr>
          <w:p w14:paraId="762A716B" w14:textId="00260848" w:rsidR="00053271" w:rsidRPr="00D00953" w:rsidRDefault="00487D0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95" w:type="pct"/>
          </w:tcPr>
          <w:p w14:paraId="554E1878" w14:textId="2C16FFDF" w:rsidR="00053271" w:rsidRPr="00D00953" w:rsidRDefault="00487D0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42" w:type="pct"/>
          </w:tcPr>
          <w:p w14:paraId="6ED70F3A" w14:textId="374EE9C7" w:rsidR="00487D00" w:rsidRPr="00D00953" w:rsidRDefault="00487D00" w:rsidP="00487D0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190,000.00</w:t>
            </w:r>
          </w:p>
          <w:p w14:paraId="300DA483" w14:textId="651C3DBE" w:rsidR="00053271" w:rsidRPr="00D00953" w:rsidRDefault="00CD62C6" w:rsidP="00CD62C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</w:tc>
      </w:tr>
      <w:tr w:rsidR="00053271" w:rsidRPr="00D00953" w14:paraId="0241D8F8" w14:textId="77777777" w:rsidTr="002B5C32">
        <w:tc>
          <w:tcPr>
            <w:tcW w:w="714" w:type="pct"/>
          </w:tcPr>
          <w:p w14:paraId="6F6BF259" w14:textId="7715232F" w:rsidR="00053271" w:rsidRPr="00D00953" w:rsidRDefault="00487D0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Resultado:6</w:t>
            </w:r>
          </w:p>
          <w:p w14:paraId="1B3D3539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Observación:7</w:t>
            </w:r>
          </w:p>
        </w:tc>
        <w:tc>
          <w:tcPr>
            <w:tcW w:w="1749" w:type="pct"/>
          </w:tcPr>
          <w:p w14:paraId="162F8CF9" w14:textId="199558DB" w:rsidR="00053271" w:rsidRPr="00D00953" w:rsidRDefault="00487D0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95" w:type="pct"/>
          </w:tcPr>
          <w:p w14:paraId="393FE7F3" w14:textId="6E939208" w:rsidR="00053271" w:rsidRPr="00D00953" w:rsidRDefault="00487D0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42" w:type="pct"/>
          </w:tcPr>
          <w:p w14:paraId="769A5F13" w14:textId="167A9A9D" w:rsidR="00487D00" w:rsidRPr="00D00953" w:rsidRDefault="00487D00" w:rsidP="00487D0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51,500.00</w:t>
            </w:r>
          </w:p>
          <w:p w14:paraId="470E14D4" w14:textId="3E3ACF3A" w:rsidR="00053271" w:rsidRPr="00D00953" w:rsidRDefault="00CD62C6" w:rsidP="00CD62C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</w:tc>
      </w:tr>
      <w:tr w:rsidR="00053271" w:rsidRPr="00D00953" w14:paraId="20F2CB02" w14:textId="77777777" w:rsidTr="002B5C32">
        <w:tc>
          <w:tcPr>
            <w:tcW w:w="714" w:type="pct"/>
          </w:tcPr>
          <w:p w14:paraId="332D4E4D" w14:textId="39BF5F23" w:rsidR="00053271" w:rsidRPr="00D00953" w:rsidRDefault="0051775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Resultado:7</w:t>
            </w:r>
          </w:p>
          <w:p w14:paraId="6C21C041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Observación:8</w:t>
            </w:r>
          </w:p>
        </w:tc>
        <w:tc>
          <w:tcPr>
            <w:tcW w:w="1749" w:type="pct"/>
          </w:tcPr>
          <w:p w14:paraId="65D97E1D" w14:textId="17EA90D1" w:rsidR="00053271" w:rsidRPr="00D00953" w:rsidRDefault="00517750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Ausencia total o parcial de soporte documental comprobatorio y justificativo</w:t>
            </w:r>
          </w:p>
        </w:tc>
        <w:tc>
          <w:tcPr>
            <w:tcW w:w="1595" w:type="pct"/>
          </w:tcPr>
          <w:p w14:paraId="63C80C27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42" w:type="pct"/>
          </w:tcPr>
          <w:p w14:paraId="27E8699F" w14:textId="21640D41" w:rsidR="00517750" w:rsidRPr="00D00953" w:rsidRDefault="00517750" w:rsidP="00517750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4,988,000.00</w:t>
            </w:r>
          </w:p>
          <w:p w14:paraId="3872A362" w14:textId="2E8B6D7B" w:rsidR="00053271" w:rsidRPr="00D00953" w:rsidRDefault="00CD62C6" w:rsidP="00CD62C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953"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</w:tc>
      </w:tr>
      <w:tr w:rsidR="00053271" w:rsidRPr="005274CB" w14:paraId="23127BE7" w14:textId="77777777" w:rsidTr="002B5C32">
        <w:tc>
          <w:tcPr>
            <w:tcW w:w="714" w:type="pct"/>
          </w:tcPr>
          <w:p w14:paraId="19A7149C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pct"/>
          </w:tcPr>
          <w:p w14:paraId="39CE6CAE" w14:textId="77777777" w:rsidR="00053271" w:rsidRPr="00D00953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5" w:type="pct"/>
          </w:tcPr>
          <w:p w14:paraId="3F2C180B" w14:textId="77777777" w:rsidR="00053271" w:rsidRPr="00D00953" w:rsidRDefault="00053271" w:rsidP="00D0404B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095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42" w:type="pct"/>
          </w:tcPr>
          <w:p w14:paraId="19A326C1" w14:textId="7B781694" w:rsidR="00053271" w:rsidRPr="00A81928" w:rsidRDefault="00517750" w:rsidP="00D0404B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0953">
              <w:rPr>
                <w:rFonts w:ascii="Arial" w:hAnsi="Arial" w:cs="Arial"/>
                <w:b/>
                <w:sz w:val="16"/>
                <w:szCs w:val="16"/>
              </w:rPr>
              <w:t>$8,102,472.00</w:t>
            </w:r>
          </w:p>
        </w:tc>
      </w:tr>
    </w:tbl>
    <w:p w14:paraId="172812D4" w14:textId="77777777" w:rsidR="00053271" w:rsidRPr="00752791" w:rsidRDefault="00053271" w:rsidP="00053271">
      <w:pPr>
        <w:ind w:right="190"/>
        <w:jc w:val="both"/>
        <w:rPr>
          <w:rFonts w:ascii="Arial" w:hAnsi="Arial" w:cs="Arial"/>
        </w:rPr>
      </w:pPr>
    </w:p>
    <w:p w14:paraId="488C2E47" w14:textId="77777777" w:rsidR="00053271" w:rsidRPr="00761FA3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Pr="00FC4DCC">
        <w:rPr>
          <w:rFonts w:ascii="Arial" w:hAnsi="Arial" w:cs="Arial"/>
          <w:b/>
          <w:bCs/>
        </w:rPr>
        <w:t>Solventaciones</w:t>
      </w:r>
      <w:proofErr w:type="spellEnd"/>
      <w:r w:rsidRPr="00FC4DCC">
        <w:rPr>
          <w:rFonts w:ascii="Arial" w:hAnsi="Arial" w:cs="Arial"/>
          <w:b/>
          <w:bCs/>
        </w:rPr>
        <w:t xml:space="preserve"> en Materia Financiera</w:t>
      </w:r>
    </w:p>
    <w:p w14:paraId="44D83787" w14:textId="77777777" w:rsidR="00053271" w:rsidRDefault="00053271" w:rsidP="00053271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35D718CD" w14:textId="77777777" w:rsidR="00053271" w:rsidRPr="00541C99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17DF3363" w14:textId="77777777" w:rsidR="00053271" w:rsidRDefault="00053271" w:rsidP="00053271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053271" w:rsidRPr="00890F3A" w14:paraId="7A44BB18" w14:textId="77777777" w:rsidTr="002B5C32">
        <w:trPr>
          <w:trHeight w:val="397"/>
          <w:tblHeader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50511E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890F3A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890F3A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053271" w:rsidRPr="00890F3A" w14:paraId="0EE531A5" w14:textId="77777777" w:rsidTr="002B5C32">
        <w:trPr>
          <w:gridAfter w:val="1"/>
          <w:wAfter w:w="8" w:type="dxa"/>
          <w:tblHeader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9CA87B2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9C49ACC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7673437F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EF1529A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890F3A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AFAB456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Monto Pendiente de Solventar</w:t>
            </w:r>
          </w:p>
        </w:tc>
      </w:tr>
      <w:tr w:rsidR="00053271" w:rsidRPr="00890F3A" w14:paraId="662D9F52" w14:textId="77777777" w:rsidTr="002B5C32">
        <w:trPr>
          <w:gridAfter w:val="1"/>
          <w:wAfter w:w="8" w:type="dxa"/>
          <w:tblHeader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9AE37B9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9C7132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BAF85D3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ADB077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D57A3A4" w14:textId="77777777" w:rsidR="00053271" w:rsidRPr="00890F3A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71" w:rsidRPr="00890F3A" w14:paraId="3D3F4C78" w14:textId="77777777" w:rsidTr="002B5C32">
        <w:trPr>
          <w:gridAfter w:val="1"/>
          <w:wAfter w:w="8" w:type="dxa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45F755" w14:textId="77777777" w:rsidR="00053271" w:rsidRPr="00890F3A" w:rsidRDefault="00053271" w:rsidP="00EF7F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2E8352" w14:textId="669C7A0F" w:rsidR="00053271" w:rsidRPr="00890F3A" w:rsidRDefault="00517750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$5,229,500.00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70BBFB" w14:textId="6F5E6FF8" w:rsidR="00053271" w:rsidRPr="00890F3A" w:rsidRDefault="00517750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E841D4" w14:textId="77777777" w:rsidR="00053271" w:rsidRPr="00890F3A" w:rsidRDefault="0005327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326452" w14:textId="5765757A" w:rsidR="00053271" w:rsidRPr="00890F3A" w:rsidRDefault="00053271" w:rsidP="00F4626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$</w:t>
            </w:r>
            <w:r w:rsidR="00F46266" w:rsidRPr="00890F3A">
              <w:rPr>
                <w:rFonts w:ascii="Arial" w:hAnsi="Arial" w:cs="Arial"/>
                <w:sz w:val="20"/>
                <w:szCs w:val="20"/>
              </w:rPr>
              <w:t>5,229,500</w:t>
            </w:r>
            <w:r w:rsidRPr="00890F3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53271" w:rsidRPr="00890F3A" w14:paraId="3C2D2E00" w14:textId="77777777" w:rsidTr="002B5C32">
        <w:trPr>
          <w:gridAfter w:val="1"/>
          <w:wAfter w:w="8" w:type="dxa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6577A7" w14:textId="6E5630F4" w:rsidR="00053271" w:rsidRPr="00890F3A" w:rsidRDefault="00517750" w:rsidP="00EF7F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(2A) Pagos improcedentes o en exceso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AC1644" w14:textId="352F1564" w:rsidR="00053271" w:rsidRPr="00890F3A" w:rsidRDefault="00517750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2,872,972.00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DEE4F3" w14:textId="129F020D" w:rsidR="00053271" w:rsidRPr="00890F3A" w:rsidRDefault="00517750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022B9A" w14:textId="77777777" w:rsidR="00053271" w:rsidRPr="00890F3A" w:rsidRDefault="0005327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4F66F1" w14:textId="3D20D329" w:rsidR="00053271" w:rsidRPr="00890F3A" w:rsidRDefault="009728CB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2,872,972</w:t>
            </w:r>
            <w:r w:rsidR="00F46266" w:rsidRPr="00890F3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53271" w:rsidRPr="009658B6" w14:paraId="65168116" w14:textId="77777777" w:rsidTr="002B5C32">
        <w:trPr>
          <w:gridAfter w:val="1"/>
          <w:wAfter w:w="8" w:type="dxa"/>
          <w:trHeight w:val="255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7BA547" w14:textId="77777777" w:rsidR="00053271" w:rsidRPr="00890F3A" w:rsidRDefault="00053271" w:rsidP="00D040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80802A" w14:textId="26FF36E8" w:rsidR="00053271" w:rsidRPr="00890F3A" w:rsidRDefault="00517750" w:rsidP="00D040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$8,102,472.00</w:t>
            </w:r>
          </w:p>
          <w:p w14:paraId="3AC1B043" w14:textId="77777777" w:rsidR="00053271" w:rsidRPr="00890F3A" w:rsidRDefault="00053271" w:rsidP="00D040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93CE7C" w14:textId="608DD515" w:rsidR="00053271" w:rsidRPr="00890F3A" w:rsidRDefault="00F46266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654436" w14:textId="77777777" w:rsidR="00053271" w:rsidRPr="00890F3A" w:rsidRDefault="0005327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F6AB4C" w14:textId="6D7D9B61" w:rsidR="00053271" w:rsidRPr="009658B6" w:rsidRDefault="00F46266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F3A">
              <w:rPr>
                <w:rFonts w:ascii="Arial" w:hAnsi="Arial" w:cs="Arial"/>
                <w:b/>
                <w:sz w:val="20"/>
                <w:szCs w:val="20"/>
              </w:rPr>
              <w:t>$8,102,472</w:t>
            </w:r>
            <w:r w:rsidR="00053271" w:rsidRPr="00890F3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2B631A36" w14:textId="77777777" w:rsidR="00053271" w:rsidRDefault="00053271" w:rsidP="00053271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2B651500" w14:textId="77777777" w:rsidR="00053271" w:rsidRDefault="00053271" w:rsidP="00053271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5FE37106" w14:textId="77777777" w:rsidR="00053271" w:rsidRDefault="00053271" w:rsidP="0005327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3373CCB8" w14:textId="0CABBFAA" w:rsidR="00053271" w:rsidRDefault="00053271" w:rsidP="0005327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Pr="003F496F">
        <w:rPr>
          <w:rFonts w:ascii="Arial" w:hAnsi="Arial" w:cs="Arial"/>
          <w:szCs w:val="28"/>
        </w:rPr>
        <w:t>,</w:t>
      </w:r>
      <w:r w:rsidRPr="00845B1A">
        <w:rPr>
          <w:rFonts w:ascii="Arial" w:hAnsi="Arial" w:cs="Arial"/>
          <w:szCs w:val="28"/>
        </w:rPr>
        <w:t xml:space="preserve"> las justificaciones y aclaraciones relacionadas con los conceptos observados de los resultados de auditoría en materia financiera,</w:t>
      </w:r>
      <w:r w:rsidRPr="00EE2C44">
        <w:t xml:space="preserve"> </w:t>
      </w:r>
      <w:r w:rsidRPr="00EE2C44">
        <w:rPr>
          <w:rFonts w:ascii="Arial" w:hAnsi="Arial" w:cs="Arial"/>
          <w:szCs w:val="28"/>
        </w:rPr>
        <w:t xml:space="preserve">es importante señalar que la documentación </w:t>
      </w:r>
      <w:r w:rsidRPr="00EE2C44">
        <w:rPr>
          <w:rFonts w:ascii="Arial" w:hAnsi="Arial" w:cs="Arial"/>
          <w:szCs w:val="28"/>
        </w:rPr>
        <w:lastRenderedPageBreak/>
        <w:t>proporcionada para aclarar o justificar los resultados y las observaciones presentadas en las reuniones fue analizada con el fin de determinar la 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>
        <w:rPr>
          <w:rFonts w:ascii="Arial" w:hAnsi="Arial" w:cs="Arial"/>
          <w:szCs w:val="28"/>
        </w:rPr>
        <w:t>Individual de Auditoría</w:t>
      </w:r>
      <w:r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7C818B01" w14:textId="77777777" w:rsidR="00053271" w:rsidRPr="006C57E0" w:rsidRDefault="00053271" w:rsidP="0005327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bookmarkEnd w:id="16"/>
    <w:p w14:paraId="6424A28D" w14:textId="11A3D2DF" w:rsidR="00112484" w:rsidRDefault="00764DF6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93E82" w:rsidRPr="003D3CA3">
        <w:rPr>
          <w:rFonts w:ascii="Arial" w:hAnsi="Arial" w:cs="Arial"/>
          <w:b/>
        </w:rPr>
        <w:t>I</w:t>
      </w:r>
      <w:r w:rsidR="00BF1990" w:rsidRPr="003D3CA3">
        <w:rPr>
          <w:rFonts w:ascii="Arial" w:hAnsi="Arial" w:cs="Arial"/>
          <w:b/>
        </w:rPr>
        <w:t>I</w:t>
      </w:r>
      <w:r w:rsidR="00183532" w:rsidRPr="003D3CA3">
        <w:rPr>
          <w:rFonts w:ascii="Arial" w:hAnsi="Arial" w:cs="Arial"/>
          <w:b/>
        </w:rPr>
        <w:t xml:space="preserve">. </w:t>
      </w:r>
      <w:r w:rsidR="00BE445E" w:rsidRPr="003D3CA3">
        <w:rPr>
          <w:rFonts w:ascii="Arial" w:hAnsi="Arial" w:cs="Arial"/>
          <w:b/>
        </w:rPr>
        <w:t>DICTAMEN</w:t>
      </w:r>
      <w:r w:rsidR="00BE445E" w:rsidRPr="00B42982">
        <w:rPr>
          <w:rFonts w:ascii="Arial" w:hAnsi="Arial" w:cs="Arial"/>
          <w:b/>
        </w:rPr>
        <w:t xml:space="preserve"> DE</w:t>
      </w:r>
      <w:r w:rsidR="002402C0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4597EE3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>p</w:t>
      </w:r>
      <w:r w:rsidR="00BF1990">
        <w:rPr>
          <w:rFonts w:ascii="Arial" w:hAnsi="Arial" w:cs="Arial"/>
        </w:rPr>
        <w:t xml:space="preserve">resente dictamen se emite </w:t>
      </w:r>
      <w:r w:rsidR="00BF1990" w:rsidRPr="006C291B">
        <w:rPr>
          <w:rFonts w:ascii="Arial" w:hAnsi="Arial" w:cs="Arial"/>
        </w:rPr>
        <w:t xml:space="preserve">el </w:t>
      </w:r>
      <w:r w:rsidR="007A6E13" w:rsidRPr="006C291B">
        <w:rPr>
          <w:rFonts w:ascii="Arial" w:hAnsi="Arial" w:cs="Arial"/>
        </w:rPr>
        <w:t>26</w:t>
      </w:r>
      <w:r w:rsidR="00764DF6" w:rsidRPr="006C291B">
        <w:rPr>
          <w:rFonts w:ascii="Arial" w:hAnsi="Arial" w:cs="Arial"/>
        </w:rPr>
        <w:t xml:space="preserve"> de enero de 2024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9607C7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BF1990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BF1990">
        <w:rPr>
          <w:rFonts w:ascii="Arial" w:hAnsi="Arial" w:cs="Arial"/>
        </w:rPr>
        <w:t xml:space="preserve"> integrados y presentados por el </w:t>
      </w:r>
      <w:r w:rsidR="000303B4">
        <w:rPr>
          <w:rFonts w:ascii="Arial" w:hAnsi="Arial" w:cs="Arial"/>
          <w:b/>
          <w:bCs/>
        </w:rPr>
        <w:t>Instituto de la Cultura y las Artes de Quintana Roo</w:t>
      </w:r>
      <w:r w:rsidR="00BF1990">
        <w:rPr>
          <w:rFonts w:ascii="Arial" w:hAnsi="Arial" w:cs="Arial"/>
          <w:b/>
        </w:rPr>
        <w:t>.</w:t>
      </w:r>
    </w:p>
    <w:p w14:paraId="03578969" w14:textId="081E095F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5F1DCD9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</w:t>
      </w:r>
      <w:r w:rsidR="009607C7">
        <w:rPr>
          <w:rFonts w:ascii="Arial" w:hAnsi="Arial" w:cs="Arial"/>
        </w:rPr>
        <w:t>ada</w:t>
      </w:r>
      <w:r w:rsidR="00E23BD1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>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</w:t>
      </w:r>
      <w:r w:rsidR="00B63673" w:rsidRPr="00B63673">
        <w:rPr>
          <w:rFonts w:ascii="Arial" w:hAnsi="Arial" w:cs="Arial"/>
        </w:rPr>
        <w:lastRenderedPageBreak/>
        <w:t xml:space="preserve">conforme a su competencia técnica y profesional sean apropiados para el encargo de auditoría, incluida la evaluación de los riesgos de </w:t>
      </w:r>
      <w:r w:rsidR="00B63673" w:rsidRPr="009607C7">
        <w:rPr>
          <w:rFonts w:ascii="Arial" w:hAnsi="Arial" w:cs="Arial"/>
        </w:rPr>
        <w:t>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</w:t>
      </w:r>
      <w:r w:rsidR="00B63673" w:rsidRPr="00B63673">
        <w:rPr>
          <w:rFonts w:ascii="Arial" w:hAnsi="Arial" w:cs="Arial"/>
        </w:rPr>
        <w:t xml:space="preserve"> Dichos procedimientos se ejecutaron mediante pruebas selectivas que se 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57BCD3F4" w:rsidR="00B63673" w:rsidRDefault="00B6367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39ED6F7" w14:textId="7FA65E64" w:rsidR="00906E9D" w:rsidRDefault="00906E9D" w:rsidP="00906E9D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</w:t>
      </w:r>
      <w:r w:rsidRPr="001254F0">
        <w:rPr>
          <w:rFonts w:ascii="Arial" w:hAnsi="Arial" w:cs="Arial"/>
        </w:rPr>
        <w:t>resultados obtenidos en la auditoría practicada</w:t>
      </w:r>
      <w:r w:rsidRPr="001254F0">
        <w:rPr>
          <w:rFonts w:ascii="Arial" w:hAnsi="Arial" w:cs="Arial"/>
          <w:b/>
        </w:rPr>
        <w:t xml:space="preserve"> </w:t>
      </w:r>
      <w:r w:rsidRPr="001254F0">
        <w:rPr>
          <w:rFonts w:ascii="Arial" w:hAnsi="Arial" w:cs="Arial"/>
        </w:rPr>
        <w:t xml:space="preserve">número </w:t>
      </w:r>
      <w:r w:rsidR="004616DC" w:rsidRPr="001254F0">
        <w:rPr>
          <w:rFonts w:ascii="Arial" w:hAnsi="Arial" w:cs="Arial"/>
          <w:b/>
          <w:bCs/>
        </w:rPr>
        <w:t>22-AEMF-C-GOB-035-072</w:t>
      </w:r>
      <w:r w:rsidRPr="001254F0">
        <w:rPr>
          <w:rFonts w:ascii="Arial" w:hAnsi="Arial" w:cs="Arial"/>
        </w:rPr>
        <w:t>, denominada</w:t>
      </w:r>
      <w:r w:rsidRPr="0065732A">
        <w:rPr>
          <w:rFonts w:ascii="Arial" w:hAnsi="Arial" w:cs="Arial"/>
        </w:rPr>
        <w:t xml:space="preserve"> </w:t>
      </w:r>
      <w:r w:rsidRPr="0065732A">
        <w:t xml:space="preserve"> </w:t>
      </w:r>
      <w:r w:rsidRPr="0065732A">
        <w:rPr>
          <w:rFonts w:ascii="Arial" w:hAnsi="Arial" w:cs="Arial"/>
        </w:rPr>
        <w:t>“Auditoría de Cumplimiento Financiero de Ingresos Públicos”, cuyo objetivo fue f</w:t>
      </w:r>
      <w:r w:rsidRPr="0065732A">
        <w:rPr>
          <w:rFonts w:ascii="Arial" w:hAnsi="Arial" w:cs="Arial"/>
          <w:bCs/>
        </w:rPr>
        <w:t xml:space="preserve">iscalizar la gestión financiera de las entidades fiscalizables para comprobar el cumplimiento de lo dispuesto en el Presupuesto de Egresos </w:t>
      </w:r>
      <w:r w:rsidR="00E35999">
        <w:rPr>
          <w:rFonts w:ascii="Arial" w:hAnsi="Arial" w:cs="Arial"/>
          <w:bCs/>
        </w:rPr>
        <w:t xml:space="preserve">del Gobierno del Estado y del cual les fueron </w:t>
      </w:r>
      <w:r w:rsidRPr="0065732A">
        <w:rPr>
          <w:rFonts w:ascii="Arial" w:hAnsi="Arial" w:cs="Arial"/>
          <w:bCs/>
        </w:rPr>
        <w:t>asignado</w:t>
      </w:r>
      <w:r w:rsidR="00E35999">
        <w:rPr>
          <w:rFonts w:ascii="Arial" w:hAnsi="Arial" w:cs="Arial"/>
          <w:bCs/>
        </w:rPr>
        <w:t>s recursos</w:t>
      </w:r>
      <w:r w:rsidRPr="0065732A">
        <w:rPr>
          <w:rFonts w:ascii="Arial" w:hAnsi="Arial" w:cs="Arial"/>
          <w:bCs/>
        </w:rPr>
        <w:t>, y demás d</w:t>
      </w:r>
      <w:r w:rsidR="00E35999">
        <w:rPr>
          <w:rFonts w:ascii="Arial" w:hAnsi="Arial" w:cs="Arial"/>
          <w:bCs/>
        </w:rPr>
        <w:t>isposiciones legales aplicables</w:t>
      </w:r>
      <w:r w:rsidRPr="0065732A">
        <w:rPr>
          <w:rFonts w:ascii="Arial" w:hAnsi="Arial" w:cs="Arial"/>
          <w:bCs/>
        </w:rPr>
        <w:t>, en cuanto a los ingresos públicos, incluyendo la revis</w:t>
      </w:r>
      <w:r>
        <w:rPr>
          <w:rFonts w:ascii="Arial" w:hAnsi="Arial" w:cs="Arial"/>
          <w:bCs/>
        </w:rPr>
        <w:t>i</w:t>
      </w:r>
      <w:r w:rsidRPr="0065732A">
        <w:rPr>
          <w:rFonts w:ascii="Arial" w:hAnsi="Arial" w:cs="Arial"/>
          <w:bCs/>
        </w:rPr>
        <w:t xml:space="preserve">ón del manejo y la custodia de recursos públicos estatales, así como </w:t>
      </w:r>
      <w:r w:rsidR="009F005D">
        <w:rPr>
          <w:rFonts w:ascii="Arial" w:hAnsi="Arial" w:cs="Arial"/>
          <w:bCs/>
        </w:rPr>
        <w:t xml:space="preserve">de </w:t>
      </w:r>
      <w:r w:rsidRPr="0065732A">
        <w:rPr>
          <w:rFonts w:ascii="Arial" w:hAnsi="Arial" w:cs="Arial"/>
          <w:bCs/>
        </w:rPr>
        <w:t>la demás información fi</w:t>
      </w:r>
      <w:r w:rsidR="000966A5">
        <w:rPr>
          <w:rFonts w:ascii="Arial" w:hAnsi="Arial" w:cs="Arial"/>
          <w:bCs/>
        </w:rPr>
        <w:t xml:space="preserve">nanciera, contable, patrimonial y presupuestaria </w:t>
      </w:r>
      <w:r>
        <w:rPr>
          <w:rFonts w:ascii="Arial" w:hAnsi="Arial" w:cs="Arial"/>
          <w:bCs/>
        </w:rPr>
        <w:t xml:space="preserve"> que la entidad fiscalizada deba incluir en su cuenta pública conforme a la normatividad aplicable, </w:t>
      </w:r>
      <w:r w:rsidRPr="00E024A3">
        <w:rPr>
          <w:rFonts w:ascii="Arial" w:hAnsi="Arial" w:cs="Arial"/>
        </w:rPr>
        <w:t>para veri</w:t>
      </w:r>
      <w:r>
        <w:rPr>
          <w:rFonts w:ascii="Arial" w:hAnsi="Arial" w:cs="Arial"/>
        </w:rPr>
        <w:t>ficar que los ingresos públicos, se hayan devengado y registrado conforme a los montos aprobados, y específicamente</w:t>
      </w:r>
      <w:r w:rsidRPr="00E024A3">
        <w:rPr>
          <w:rFonts w:ascii="Arial" w:hAnsi="Arial" w:cs="Arial"/>
        </w:rPr>
        <w:t>, respecto de la muestra auditada señalada en el apartado relativo al alcance, en nuestra opinión se concluye que en términos generales,</w:t>
      </w:r>
      <w:r>
        <w:rPr>
          <w:rFonts w:ascii="Arial" w:hAnsi="Arial" w:cs="Arial"/>
        </w:rPr>
        <w:t xml:space="preserve"> el </w:t>
      </w:r>
      <w:r>
        <w:rPr>
          <w:rFonts w:ascii="Arial" w:hAnsi="Arial" w:cs="Arial"/>
          <w:b/>
          <w:bCs/>
        </w:rPr>
        <w:t xml:space="preserve">Instituto de la Cultura y las Artes de Quintana </w:t>
      </w:r>
      <w:r w:rsidRPr="001254F0">
        <w:rPr>
          <w:rFonts w:ascii="Arial" w:hAnsi="Arial" w:cs="Arial"/>
          <w:b/>
          <w:bCs/>
        </w:rPr>
        <w:t>Roo</w:t>
      </w:r>
      <w:r w:rsidRPr="001254F0">
        <w:rPr>
          <w:rFonts w:ascii="Arial" w:hAnsi="Arial" w:cs="Arial"/>
        </w:rPr>
        <w:t xml:space="preserve"> cumplió con las disposiciones legales y normativas que son aplicables en la materia</w:t>
      </w:r>
      <w:r w:rsidR="000F3B5E">
        <w:rPr>
          <w:rFonts w:ascii="Arial" w:hAnsi="Arial" w:cs="Arial"/>
        </w:rPr>
        <w:t>.</w:t>
      </w:r>
    </w:p>
    <w:p w14:paraId="1A6ED23D" w14:textId="77777777" w:rsidR="00906E9D" w:rsidRPr="00E024A3" w:rsidRDefault="00906E9D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667FDD0" w14:textId="39DB7161" w:rsidR="002122E7" w:rsidRDefault="002122E7" w:rsidP="002122E7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1F1031">
        <w:rPr>
          <w:rFonts w:ascii="Arial" w:hAnsi="Arial" w:cs="Arial"/>
        </w:rPr>
        <w:t xml:space="preserve">número </w:t>
      </w:r>
      <w:r w:rsidR="004616DC">
        <w:rPr>
          <w:rFonts w:ascii="Arial" w:hAnsi="Arial" w:cs="Arial"/>
          <w:b/>
          <w:bCs/>
        </w:rPr>
        <w:t>22-AEMF-C-GOB-035</w:t>
      </w:r>
      <w:r w:rsidRPr="001F1031">
        <w:rPr>
          <w:rFonts w:ascii="Arial" w:hAnsi="Arial" w:cs="Arial"/>
          <w:b/>
          <w:bCs/>
        </w:rPr>
        <w:t>-07</w:t>
      </w:r>
      <w:r w:rsidR="004616DC">
        <w:rPr>
          <w:rFonts w:ascii="Arial" w:hAnsi="Arial" w:cs="Arial"/>
          <w:b/>
          <w:bCs/>
        </w:rPr>
        <w:t>3</w:t>
      </w:r>
      <w:r w:rsidRPr="001F1031">
        <w:rPr>
          <w:rFonts w:ascii="Arial" w:hAnsi="Arial" w:cs="Arial"/>
        </w:rPr>
        <w:t xml:space="preserve">, denominada </w:t>
      </w:r>
      <w:r w:rsidRPr="001F1031">
        <w:t xml:space="preserve"> </w:t>
      </w:r>
      <w:r w:rsidRPr="001F1031">
        <w:rPr>
          <w:rFonts w:ascii="Arial" w:hAnsi="Arial" w:cs="Arial"/>
        </w:rPr>
        <w:t xml:space="preserve">“Auditoría de Cumplimiento Financiero de Gastos Públicos”, </w:t>
      </w:r>
      <w:r w:rsidRPr="001F1031">
        <w:rPr>
          <w:rFonts w:ascii="Arial" w:hAnsi="Arial" w:cs="Arial"/>
        </w:rPr>
        <w:lastRenderedPageBreak/>
        <w:t>cuyo objetivo fue f</w:t>
      </w:r>
      <w:r w:rsidRPr="001F1031">
        <w:rPr>
          <w:rFonts w:ascii="Arial" w:hAnsi="Arial" w:cs="Arial"/>
          <w:bCs/>
        </w:rPr>
        <w:t xml:space="preserve">iscalizar la gestión financiera de las entidades fiscalizables para comprobar el cumplimiento de  lo dispuesto en el Presupuesto de Egresos asignado, y demás  disposiciones legales aplicables, en cuanto a los gastos públicos estatales, así como </w:t>
      </w:r>
      <w:r w:rsidR="009F005D">
        <w:rPr>
          <w:rFonts w:ascii="Arial" w:hAnsi="Arial" w:cs="Arial"/>
          <w:bCs/>
        </w:rPr>
        <w:t xml:space="preserve">de </w:t>
      </w:r>
      <w:r w:rsidRPr="001F1031">
        <w:rPr>
          <w:rFonts w:ascii="Arial" w:hAnsi="Arial" w:cs="Arial"/>
          <w:bCs/>
        </w:rPr>
        <w:t>la demás</w:t>
      </w:r>
      <w:r>
        <w:rPr>
          <w:rFonts w:ascii="Arial" w:hAnsi="Arial" w:cs="Arial"/>
          <w:bCs/>
        </w:rPr>
        <w:t xml:space="preserve"> información financiera, contable, patrimonial, presupuestaria y programática que la entidad fiscalizada deba incluir en su cuenta pública conforme a la normatividad aplicable, </w:t>
      </w:r>
      <w:r w:rsidRPr="00E024A3">
        <w:rPr>
          <w:rFonts w:ascii="Arial" w:hAnsi="Arial" w:cs="Arial"/>
        </w:rPr>
        <w:t>para verificar que el presupuesto asignado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</w:t>
      </w:r>
      <w:r w:rsidRPr="00230A2B">
        <w:rPr>
          <w:rFonts w:ascii="Arial" w:hAnsi="Arial" w:cs="Arial"/>
        </w:rPr>
        <w:t xml:space="preserve">a los programas presupuestarios </w:t>
      </w:r>
      <w:r w:rsidR="006F7222">
        <w:rPr>
          <w:rFonts w:ascii="Arial" w:hAnsi="Arial" w:cs="Arial"/>
        </w:rPr>
        <w:t>E045</w:t>
      </w:r>
      <w:r w:rsidRPr="002E0099">
        <w:rPr>
          <w:rFonts w:ascii="Arial" w:hAnsi="Arial" w:cs="Arial"/>
        </w:rPr>
        <w:t xml:space="preserve"> </w:t>
      </w:r>
      <w:r w:rsidRPr="002E0099">
        <w:rPr>
          <w:rFonts w:ascii="Arial" w:hAnsi="Arial" w:cs="Arial"/>
          <w:bCs/>
        </w:rPr>
        <w:t xml:space="preserve"> - </w:t>
      </w:r>
      <w:r w:rsidR="006F7222">
        <w:rPr>
          <w:rFonts w:ascii="Arial" w:hAnsi="Arial" w:cs="Arial"/>
          <w:bCs/>
        </w:rPr>
        <w:t xml:space="preserve">Todos Somos Cultura </w:t>
      </w:r>
      <w:r w:rsidRPr="002E0099">
        <w:rPr>
          <w:rFonts w:ascii="Arial" w:hAnsi="Arial" w:cs="Arial"/>
          <w:bCs/>
        </w:rPr>
        <w:t>y M001</w:t>
      </w:r>
      <w:r w:rsidRPr="002E0099">
        <w:rPr>
          <w:rFonts w:ascii="Arial" w:hAnsi="Arial" w:cs="Arial"/>
        </w:rPr>
        <w:t xml:space="preserve"> - Gestión y Apoyo Institucional</w:t>
      </w:r>
      <w:r w:rsidRPr="002E0099">
        <w:rPr>
          <w:rFonts w:ascii="Arial" w:hAnsi="Arial" w:cs="Arial"/>
          <w:bCs/>
        </w:rPr>
        <w:t>,</w:t>
      </w:r>
      <w:r w:rsidRPr="00230A2B">
        <w:rPr>
          <w:rFonts w:ascii="Arial" w:hAnsi="Arial" w:cs="Arial"/>
        </w:rPr>
        <w:t xml:space="preserve"> se hayan devengado y registrado conforme</w:t>
      </w:r>
      <w:r w:rsidRPr="00E024A3">
        <w:rPr>
          <w:rFonts w:ascii="Arial" w:hAnsi="Arial" w:cs="Arial"/>
        </w:rPr>
        <w:t xml:space="preserve"> a los montos aprobados, y específicamente, respecto de la muestra auditada señalada en el apartado relativo al alcance, en nuestra opinión se concluye que en términos generales,</w:t>
      </w:r>
      <w:r>
        <w:rPr>
          <w:rFonts w:ascii="Arial" w:hAnsi="Arial" w:cs="Arial"/>
        </w:rPr>
        <w:t xml:space="preserve"> el </w:t>
      </w:r>
      <w:r>
        <w:rPr>
          <w:rFonts w:ascii="Arial" w:hAnsi="Arial" w:cs="Arial"/>
          <w:b/>
          <w:bCs/>
        </w:rPr>
        <w:t>Instituto de la Cultura y las Artes de Quintana Roo</w:t>
      </w:r>
      <w:r w:rsidRPr="006C291B">
        <w:rPr>
          <w:rFonts w:ascii="Arial" w:hAnsi="Arial" w:cs="Arial"/>
        </w:rPr>
        <w:t xml:space="preserve"> </w:t>
      </w:r>
      <w:r w:rsidRPr="001254F0">
        <w:rPr>
          <w:rFonts w:ascii="Arial" w:hAnsi="Arial" w:cs="Arial"/>
        </w:rPr>
        <w:t>cumplió con las disposiciones legales y normativas que son aplicables en la materia</w:t>
      </w:r>
      <w:r w:rsidR="00803AD9" w:rsidRPr="001254F0">
        <w:rPr>
          <w:rFonts w:ascii="Arial" w:hAnsi="Arial" w:cs="Arial"/>
        </w:rPr>
        <w:t>,</w:t>
      </w:r>
      <w:r w:rsidR="00F15FED" w:rsidRPr="00F15FED">
        <w:t xml:space="preserve"> </w:t>
      </w:r>
      <w:r w:rsidR="00F15FED">
        <w:rPr>
          <w:rFonts w:ascii="Arial" w:hAnsi="Arial" w:cs="Arial"/>
        </w:rPr>
        <w:t>excepto por los Pliegos de Observaciones emitidos en el punto I</w:t>
      </w:r>
      <w:r w:rsidR="00F15FED" w:rsidRPr="00F15FED">
        <w:rPr>
          <w:rFonts w:ascii="Arial" w:hAnsi="Arial" w:cs="Arial"/>
        </w:rPr>
        <w:t>I.3 apartado A.</w:t>
      </w:r>
    </w:p>
    <w:p w14:paraId="58D60ED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705298D" w14:textId="6AC2352A" w:rsidR="00E024A3" w:rsidRPr="00E024A3" w:rsidRDefault="004E1FDA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1254F0">
        <w:rPr>
          <w:rFonts w:ascii="Arial" w:hAnsi="Arial" w:cs="Arial"/>
        </w:rPr>
        <w:t>Las</w:t>
      </w:r>
      <w:r w:rsidR="00E024A3" w:rsidRPr="001254F0">
        <w:rPr>
          <w:rFonts w:ascii="Arial" w:hAnsi="Arial" w:cs="Arial"/>
        </w:rPr>
        <w:t xml:space="preserve"> </w:t>
      </w:r>
      <w:r w:rsidR="00F4635C" w:rsidRPr="001254F0">
        <w:rPr>
          <w:rFonts w:ascii="Arial" w:hAnsi="Arial" w:cs="Arial"/>
        </w:rPr>
        <w:t xml:space="preserve">acciones y </w:t>
      </w:r>
      <w:r w:rsidR="00E024A3" w:rsidRPr="001254F0">
        <w:rPr>
          <w:rFonts w:ascii="Arial" w:hAnsi="Arial" w:cs="Arial"/>
        </w:rPr>
        <w:t xml:space="preserve">recomendaciones emitidas quedarán formalmente promovidas a partir de la notificación del Informe Individual de Auditoría al ente </w:t>
      </w:r>
      <w:proofErr w:type="spellStart"/>
      <w:r w:rsidR="00E024A3" w:rsidRPr="001254F0">
        <w:rPr>
          <w:rFonts w:ascii="Arial" w:hAnsi="Arial" w:cs="Arial"/>
        </w:rPr>
        <w:t>fiscalizado</w:t>
      </w:r>
      <w:proofErr w:type="spellEnd"/>
      <w:r w:rsidR="00E024A3" w:rsidRPr="001254F0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</w:t>
      </w:r>
      <w:r w:rsidRPr="001254F0">
        <w:rPr>
          <w:rFonts w:ascii="Arial" w:hAnsi="Arial" w:cs="Arial"/>
        </w:rPr>
        <w:t xml:space="preserve"> a</w:t>
      </w:r>
      <w:r w:rsidR="00E024A3" w:rsidRPr="001254F0">
        <w:rPr>
          <w:rFonts w:ascii="Arial" w:hAnsi="Arial" w:cs="Arial"/>
        </w:rPr>
        <w:t xml:space="preserve"> las mejoras realizadas y las acciones emp</w:t>
      </w:r>
      <w:r w:rsidRPr="001254F0">
        <w:rPr>
          <w:rFonts w:ascii="Arial" w:hAnsi="Arial" w:cs="Arial"/>
        </w:rPr>
        <w:t>rendidas</w:t>
      </w:r>
      <w:r w:rsidR="00E024A3" w:rsidRPr="001254F0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0C17C3F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D1F6FF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76BAF1E" w14:textId="4D7386D6" w:rsidR="00605288" w:rsidRDefault="00387688" w:rsidP="00906A2A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M. EN AUD. MANUEL PALACIOS HERRERA</w:t>
      </w:r>
    </w:p>
    <w:sectPr w:rsidR="00605288" w:rsidSect="00D30997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4F8" w14:textId="77777777" w:rsidR="00F974B3" w:rsidRDefault="00F974B3">
      <w:r>
        <w:separator/>
      </w:r>
    </w:p>
  </w:endnote>
  <w:endnote w:type="continuationSeparator" w:id="0">
    <w:p w14:paraId="2764AFB7" w14:textId="77777777" w:rsidR="00F974B3" w:rsidRDefault="00F974B3">
      <w:r>
        <w:continuationSeparator/>
      </w:r>
    </w:p>
  </w:endnote>
  <w:endnote w:type="continuationNotice" w:id="1">
    <w:p w14:paraId="45006BC0" w14:textId="77777777" w:rsidR="00F974B3" w:rsidRDefault="00F97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540"/>
    </w:tblGrid>
    <w:tr w:rsidR="001D5BD8" w:rsidRPr="00D875E2" w14:paraId="7908F6C6" w14:textId="77777777" w:rsidTr="00364254">
      <w:trPr>
        <w:trHeight w:val="363"/>
      </w:trPr>
      <w:tc>
        <w:tcPr>
          <w:tcW w:w="9540" w:type="dxa"/>
          <w:shd w:val="clear" w:color="auto" w:fill="auto"/>
        </w:tcPr>
        <w:p w14:paraId="3E846AFB" w14:textId="77777777" w:rsidR="001D5BD8" w:rsidRPr="00D875E2" w:rsidRDefault="001D5BD8" w:rsidP="008532E7">
          <w:pPr>
            <w:rPr>
              <w:rStyle w:val="nfasis"/>
              <w:i w:val="0"/>
              <w:iCs w:val="0"/>
            </w:rPr>
          </w:pPr>
        </w:p>
      </w:tc>
    </w:tr>
  </w:tbl>
  <w:p w14:paraId="1BCAA6BB" w14:textId="337271C1" w:rsidR="001C681B" w:rsidRDefault="001D5BD8" w:rsidP="00364254">
    <w:pPr>
      <w:pStyle w:val="Piedepgina"/>
      <w:ind w:right="190"/>
      <w:jc w:val="right"/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="001C681B"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 w:rsidR="001C681B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1C681B"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 w:rsidR="001C681B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FC47EE">
      <w:rPr>
        <w:rFonts w:ascii="Arial" w:hAnsi="Arial" w:cs="Arial"/>
        <w:b/>
        <w:bCs/>
        <w:noProof/>
        <w:sz w:val="18"/>
        <w:szCs w:val="18"/>
        <w:lang w:val="es-ES"/>
      </w:rPr>
      <w:t>24</w:t>
    </w:r>
    <w:r w:rsidR="001C681B"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="001C681B"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 w:rsidR="001C681B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1C681B"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 w:rsidR="001C681B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FC47EE">
      <w:rPr>
        <w:rFonts w:ascii="Arial" w:hAnsi="Arial" w:cs="Arial"/>
        <w:b/>
        <w:bCs/>
        <w:noProof/>
        <w:sz w:val="18"/>
        <w:szCs w:val="18"/>
        <w:lang w:val="es-ES"/>
      </w:rPr>
      <w:t>24</w:t>
    </w:r>
    <w:r w:rsidR="001C681B">
      <w:rPr>
        <w:rFonts w:ascii="Arial" w:hAnsi="Arial" w:cs="Arial"/>
        <w:b/>
        <w:bCs/>
        <w:sz w:val="18"/>
        <w:szCs w:val="18"/>
        <w:lang w:val="es-ES"/>
      </w:rPr>
      <w:fldChar w:fldCharType="end"/>
    </w:r>
  </w:p>
  <w:p w14:paraId="67EFF0BB" w14:textId="237980B4" w:rsidR="001D5BD8" w:rsidRPr="00880D13" w:rsidRDefault="001D5BD8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1AE7" w14:textId="77777777" w:rsidR="00F974B3" w:rsidRDefault="00F974B3">
      <w:r>
        <w:separator/>
      </w:r>
    </w:p>
  </w:footnote>
  <w:footnote w:type="continuationSeparator" w:id="0">
    <w:p w14:paraId="134129DB" w14:textId="77777777" w:rsidR="00F974B3" w:rsidRDefault="00F974B3">
      <w:r>
        <w:continuationSeparator/>
      </w:r>
    </w:p>
  </w:footnote>
  <w:footnote w:type="continuationNotice" w:id="1">
    <w:p w14:paraId="0CB82D76" w14:textId="77777777" w:rsidR="00F974B3" w:rsidRDefault="00F97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F974B3" w:rsidRPr="006F757C" w14:paraId="2E8824FF" w14:textId="77777777" w:rsidTr="007D48A8">
      <w:tc>
        <w:tcPr>
          <w:tcW w:w="2055" w:type="dxa"/>
          <w:vAlign w:val="center"/>
        </w:tcPr>
        <w:p w14:paraId="267D8967" w14:textId="77777777" w:rsidR="00F974B3" w:rsidRPr="00CF3DF4" w:rsidRDefault="00F974B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90CF562" w14:textId="77777777" w:rsidR="00F974B3" w:rsidRPr="00CF3DF4" w:rsidRDefault="00F974B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12E7696" w14:textId="666240DC" w:rsidR="00F974B3" w:rsidRPr="00207E4F" w:rsidRDefault="00F974B3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F974B3" w:rsidRPr="003316E8" w14:paraId="3B0FD990" w14:textId="77777777" w:rsidTr="007D48A8">
      <w:tc>
        <w:tcPr>
          <w:tcW w:w="2055" w:type="dxa"/>
          <w:vAlign w:val="center"/>
          <w:hideMark/>
        </w:tcPr>
        <w:p w14:paraId="38000F92" w14:textId="77777777" w:rsidR="00F974B3" w:rsidRPr="003316E8" w:rsidRDefault="00F974B3" w:rsidP="003C2FE7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14343BEB" wp14:editId="32EB6802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3" name="Imagen 3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75623212" w14:textId="77777777" w:rsidR="00F974B3" w:rsidRPr="00373686" w:rsidRDefault="00F974B3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5327DB2B" w14:textId="77777777" w:rsidR="00F974B3" w:rsidRPr="003316E8" w:rsidRDefault="00F974B3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C01F311" wp14:editId="41D67A97">
                <wp:extent cx="1131570" cy="1190625"/>
                <wp:effectExtent l="0" t="0" r="0" b="0"/>
                <wp:docPr id="5" name="Imagen 5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74B3" w:rsidRPr="003316E8" w14:paraId="03610A9C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1A3417" w14:textId="77777777" w:rsidR="00F974B3" w:rsidRPr="003316E8" w:rsidRDefault="00F974B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4D3AD7" w14:textId="77777777" w:rsidR="00F974B3" w:rsidRPr="003316E8" w:rsidRDefault="00F974B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D6ED79" w14:textId="77777777" w:rsidR="00F974B3" w:rsidRPr="003316E8" w:rsidRDefault="00F974B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CE0B95F" w14:textId="77777777" w:rsidR="00F974B3" w:rsidRPr="003C2FE7" w:rsidRDefault="00F974B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7C4CC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9"/>
  </w:num>
  <w:num w:numId="6">
    <w:abstractNumId w:val="7"/>
  </w:num>
  <w:num w:numId="7">
    <w:abstractNumId w:val="18"/>
  </w:num>
  <w:num w:numId="8">
    <w:abstractNumId w:val="9"/>
  </w:num>
  <w:num w:numId="9">
    <w:abstractNumId w:val="20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6"/>
  </w:num>
  <w:num w:numId="21">
    <w:abstractNumId w:val="17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04F"/>
    <w:rsid w:val="00020AC6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0C"/>
    <w:rsid w:val="00024C6D"/>
    <w:rsid w:val="00025095"/>
    <w:rsid w:val="000258C4"/>
    <w:rsid w:val="000260E2"/>
    <w:rsid w:val="0002628B"/>
    <w:rsid w:val="000264DA"/>
    <w:rsid w:val="00026880"/>
    <w:rsid w:val="00026D28"/>
    <w:rsid w:val="00026F57"/>
    <w:rsid w:val="00027270"/>
    <w:rsid w:val="0002740F"/>
    <w:rsid w:val="00027842"/>
    <w:rsid w:val="000303B4"/>
    <w:rsid w:val="00030B5F"/>
    <w:rsid w:val="00030BBF"/>
    <w:rsid w:val="00030C10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28"/>
    <w:rsid w:val="000410F7"/>
    <w:rsid w:val="00041DBA"/>
    <w:rsid w:val="00042378"/>
    <w:rsid w:val="0004250B"/>
    <w:rsid w:val="00042B78"/>
    <w:rsid w:val="00042D1E"/>
    <w:rsid w:val="0004313E"/>
    <w:rsid w:val="00043813"/>
    <w:rsid w:val="00043843"/>
    <w:rsid w:val="00043BC8"/>
    <w:rsid w:val="00043F7E"/>
    <w:rsid w:val="0004448C"/>
    <w:rsid w:val="0004449E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271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63EC"/>
    <w:rsid w:val="000669D8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7583A"/>
    <w:rsid w:val="000763D1"/>
    <w:rsid w:val="00076FB4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A2B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6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6E8"/>
    <w:rsid w:val="000C37EA"/>
    <w:rsid w:val="000C39EC"/>
    <w:rsid w:val="000C3B55"/>
    <w:rsid w:val="000C3C71"/>
    <w:rsid w:val="000C465C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CF1"/>
    <w:rsid w:val="000C7F4F"/>
    <w:rsid w:val="000D0648"/>
    <w:rsid w:val="000D0D95"/>
    <w:rsid w:val="000D116F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2FAB"/>
    <w:rsid w:val="000F30C2"/>
    <w:rsid w:val="000F396F"/>
    <w:rsid w:val="000F3999"/>
    <w:rsid w:val="000F39B4"/>
    <w:rsid w:val="000F3B5E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447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396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4F0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A4B"/>
    <w:rsid w:val="00137DA4"/>
    <w:rsid w:val="0014030E"/>
    <w:rsid w:val="00140585"/>
    <w:rsid w:val="0014093C"/>
    <w:rsid w:val="001413A7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363"/>
    <w:rsid w:val="001446DA"/>
    <w:rsid w:val="001447E5"/>
    <w:rsid w:val="00144CF8"/>
    <w:rsid w:val="00144CFA"/>
    <w:rsid w:val="0014518E"/>
    <w:rsid w:val="00145B08"/>
    <w:rsid w:val="00146175"/>
    <w:rsid w:val="00146CBB"/>
    <w:rsid w:val="00147304"/>
    <w:rsid w:val="001506A9"/>
    <w:rsid w:val="00150790"/>
    <w:rsid w:val="00150B34"/>
    <w:rsid w:val="0015102B"/>
    <w:rsid w:val="0015102E"/>
    <w:rsid w:val="001517CE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4F22"/>
    <w:rsid w:val="00155003"/>
    <w:rsid w:val="00155648"/>
    <w:rsid w:val="00155E7C"/>
    <w:rsid w:val="00155FA7"/>
    <w:rsid w:val="00155FD2"/>
    <w:rsid w:val="00157299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5E"/>
    <w:rsid w:val="00164EA0"/>
    <w:rsid w:val="00165610"/>
    <w:rsid w:val="00165AC1"/>
    <w:rsid w:val="001660F3"/>
    <w:rsid w:val="00166734"/>
    <w:rsid w:val="00166BA9"/>
    <w:rsid w:val="0016763E"/>
    <w:rsid w:val="00167737"/>
    <w:rsid w:val="00167EB9"/>
    <w:rsid w:val="00167F82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6FC"/>
    <w:rsid w:val="00184B47"/>
    <w:rsid w:val="00185402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842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510"/>
    <w:rsid w:val="001A09C4"/>
    <w:rsid w:val="001A0F63"/>
    <w:rsid w:val="001A122C"/>
    <w:rsid w:val="001A15C4"/>
    <w:rsid w:val="001A2623"/>
    <w:rsid w:val="001A2DB9"/>
    <w:rsid w:val="001A2FC7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02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2AD2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81B"/>
    <w:rsid w:val="001C6BD1"/>
    <w:rsid w:val="001C6D85"/>
    <w:rsid w:val="001C72B2"/>
    <w:rsid w:val="001C751C"/>
    <w:rsid w:val="001C772F"/>
    <w:rsid w:val="001C7BF2"/>
    <w:rsid w:val="001C7E6C"/>
    <w:rsid w:val="001C7EC9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5BD8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EC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E7327"/>
    <w:rsid w:val="001F0A16"/>
    <w:rsid w:val="001F0E6C"/>
    <w:rsid w:val="001F0E74"/>
    <w:rsid w:val="001F0F69"/>
    <w:rsid w:val="001F16BE"/>
    <w:rsid w:val="001F1733"/>
    <w:rsid w:val="001F196B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AFC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27E"/>
    <w:rsid w:val="00203D16"/>
    <w:rsid w:val="00204414"/>
    <w:rsid w:val="0020449E"/>
    <w:rsid w:val="0020463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B3F"/>
    <w:rsid w:val="00210D49"/>
    <w:rsid w:val="00210D81"/>
    <w:rsid w:val="00210FC8"/>
    <w:rsid w:val="002115C7"/>
    <w:rsid w:val="00211A25"/>
    <w:rsid w:val="002122E7"/>
    <w:rsid w:val="00212705"/>
    <w:rsid w:val="002128DC"/>
    <w:rsid w:val="00212E90"/>
    <w:rsid w:val="002130DC"/>
    <w:rsid w:val="002138CC"/>
    <w:rsid w:val="00213BF7"/>
    <w:rsid w:val="00214320"/>
    <w:rsid w:val="0021437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CA5"/>
    <w:rsid w:val="00224F1A"/>
    <w:rsid w:val="00225118"/>
    <w:rsid w:val="002251EE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A2B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2C0"/>
    <w:rsid w:val="00240561"/>
    <w:rsid w:val="002409A0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407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9A0"/>
    <w:rsid w:val="00254FFF"/>
    <w:rsid w:val="0025545B"/>
    <w:rsid w:val="0025587D"/>
    <w:rsid w:val="0025599E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070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A57"/>
    <w:rsid w:val="00274B95"/>
    <w:rsid w:val="0027585B"/>
    <w:rsid w:val="00275D1D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45F"/>
    <w:rsid w:val="00291767"/>
    <w:rsid w:val="002920CE"/>
    <w:rsid w:val="00292110"/>
    <w:rsid w:val="002922EB"/>
    <w:rsid w:val="0029233B"/>
    <w:rsid w:val="00292988"/>
    <w:rsid w:val="00292F0E"/>
    <w:rsid w:val="002931D2"/>
    <w:rsid w:val="002936F5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7AE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612"/>
    <w:rsid w:val="002B0AC4"/>
    <w:rsid w:val="002B0EAD"/>
    <w:rsid w:val="002B15F7"/>
    <w:rsid w:val="002B1B9E"/>
    <w:rsid w:val="002B1F31"/>
    <w:rsid w:val="002B1FA7"/>
    <w:rsid w:val="002B2058"/>
    <w:rsid w:val="002B2135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5C32"/>
    <w:rsid w:val="002B5F9A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440"/>
    <w:rsid w:val="002D0B9A"/>
    <w:rsid w:val="002D0F4E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600"/>
    <w:rsid w:val="002D568A"/>
    <w:rsid w:val="002D584D"/>
    <w:rsid w:val="002D591E"/>
    <w:rsid w:val="002D5E45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52C"/>
    <w:rsid w:val="002E7E58"/>
    <w:rsid w:val="002F07A2"/>
    <w:rsid w:val="002F12E3"/>
    <w:rsid w:val="002F14CA"/>
    <w:rsid w:val="002F17A5"/>
    <w:rsid w:val="002F1A28"/>
    <w:rsid w:val="002F2155"/>
    <w:rsid w:val="002F246F"/>
    <w:rsid w:val="002F24FC"/>
    <w:rsid w:val="002F27EE"/>
    <w:rsid w:val="002F2A15"/>
    <w:rsid w:val="002F30FE"/>
    <w:rsid w:val="002F33A6"/>
    <w:rsid w:val="002F3D31"/>
    <w:rsid w:val="002F4090"/>
    <w:rsid w:val="002F4A18"/>
    <w:rsid w:val="002F51B9"/>
    <w:rsid w:val="002F570F"/>
    <w:rsid w:val="002F5C7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1A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CB2"/>
    <w:rsid w:val="003228D3"/>
    <w:rsid w:val="00323257"/>
    <w:rsid w:val="003237D9"/>
    <w:rsid w:val="0032408D"/>
    <w:rsid w:val="003244C8"/>
    <w:rsid w:val="00324C9B"/>
    <w:rsid w:val="00324EFC"/>
    <w:rsid w:val="003252B1"/>
    <w:rsid w:val="003256F4"/>
    <w:rsid w:val="003268E1"/>
    <w:rsid w:val="00326B85"/>
    <w:rsid w:val="00326CBA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2F"/>
    <w:rsid w:val="00331FA5"/>
    <w:rsid w:val="00331FF9"/>
    <w:rsid w:val="003323AD"/>
    <w:rsid w:val="0033297E"/>
    <w:rsid w:val="00332B93"/>
    <w:rsid w:val="00332D0F"/>
    <w:rsid w:val="00333375"/>
    <w:rsid w:val="003337E0"/>
    <w:rsid w:val="00333A88"/>
    <w:rsid w:val="00333E55"/>
    <w:rsid w:val="00333F7D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4EA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7A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4254"/>
    <w:rsid w:val="00364353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77ED0"/>
    <w:rsid w:val="003809B3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85C"/>
    <w:rsid w:val="0038410B"/>
    <w:rsid w:val="00384248"/>
    <w:rsid w:val="003848AE"/>
    <w:rsid w:val="00384B29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8768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6F0"/>
    <w:rsid w:val="003959BD"/>
    <w:rsid w:val="00395A83"/>
    <w:rsid w:val="00395F62"/>
    <w:rsid w:val="00396235"/>
    <w:rsid w:val="00397D55"/>
    <w:rsid w:val="003A0D28"/>
    <w:rsid w:val="003A16AA"/>
    <w:rsid w:val="003A2A89"/>
    <w:rsid w:val="003A2AC1"/>
    <w:rsid w:val="003A2CA3"/>
    <w:rsid w:val="003A3DBB"/>
    <w:rsid w:val="003A487C"/>
    <w:rsid w:val="003A4F86"/>
    <w:rsid w:val="003A5164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832"/>
    <w:rsid w:val="003A78E3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2E"/>
    <w:rsid w:val="003B0660"/>
    <w:rsid w:val="003B07C7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96B"/>
    <w:rsid w:val="003B3184"/>
    <w:rsid w:val="003B4177"/>
    <w:rsid w:val="003B47DE"/>
    <w:rsid w:val="003B4A12"/>
    <w:rsid w:val="003B5A91"/>
    <w:rsid w:val="003B5AB4"/>
    <w:rsid w:val="003B5C1A"/>
    <w:rsid w:val="003B5F2C"/>
    <w:rsid w:val="003B5F43"/>
    <w:rsid w:val="003B6729"/>
    <w:rsid w:val="003B698D"/>
    <w:rsid w:val="003B73BC"/>
    <w:rsid w:val="003B7F9D"/>
    <w:rsid w:val="003C0308"/>
    <w:rsid w:val="003C0559"/>
    <w:rsid w:val="003C0AF6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46D"/>
    <w:rsid w:val="003C396E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64A6"/>
    <w:rsid w:val="003C7AFF"/>
    <w:rsid w:val="003C7BDB"/>
    <w:rsid w:val="003C7FAA"/>
    <w:rsid w:val="003D0010"/>
    <w:rsid w:val="003D009D"/>
    <w:rsid w:val="003D02CC"/>
    <w:rsid w:val="003D3327"/>
    <w:rsid w:val="003D3A46"/>
    <w:rsid w:val="003D3CA3"/>
    <w:rsid w:val="003D3CC6"/>
    <w:rsid w:val="003D3F0F"/>
    <w:rsid w:val="003D45FB"/>
    <w:rsid w:val="003D4DBC"/>
    <w:rsid w:val="003D4F9C"/>
    <w:rsid w:val="003D553C"/>
    <w:rsid w:val="003D56D6"/>
    <w:rsid w:val="003D5AE3"/>
    <w:rsid w:val="003D6FFF"/>
    <w:rsid w:val="003D707B"/>
    <w:rsid w:val="003D7DB9"/>
    <w:rsid w:val="003E04BC"/>
    <w:rsid w:val="003E13AB"/>
    <w:rsid w:val="003E14D0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1A4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96F"/>
    <w:rsid w:val="003F4BEF"/>
    <w:rsid w:val="003F4DBC"/>
    <w:rsid w:val="003F54F9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68B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6839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251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E58"/>
    <w:rsid w:val="00451FF5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37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6DC"/>
    <w:rsid w:val="00461B43"/>
    <w:rsid w:val="00461F3D"/>
    <w:rsid w:val="00462880"/>
    <w:rsid w:val="00462D52"/>
    <w:rsid w:val="00463144"/>
    <w:rsid w:val="00463189"/>
    <w:rsid w:val="00463490"/>
    <w:rsid w:val="00463500"/>
    <w:rsid w:val="004645BB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67A0A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85"/>
    <w:rsid w:val="0047765D"/>
    <w:rsid w:val="00477D99"/>
    <w:rsid w:val="00480299"/>
    <w:rsid w:val="00480A82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4C8A"/>
    <w:rsid w:val="0048557F"/>
    <w:rsid w:val="004857A7"/>
    <w:rsid w:val="00485962"/>
    <w:rsid w:val="004865E7"/>
    <w:rsid w:val="0048697E"/>
    <w:rsid w:val="00486F6D"/>
    <w:rsid w:val="00486F87"/>
    <w:rsid w:val="00486F8E"/>
    <w:rsid w:val="00487614"/>
    <w:rsid w:val="00487A0C"/>
    <w:rsid w:val="00487D00"/>
    <w:rsid w:val="00490AC6"/>
    <w:rsid w:val="00490F0E"/>
    <w:rsid w:val="0049112B"/>
    <w:rsid w:val="0049116D"/>
    <w:rsid w:val="00491496"/>
    <w:rsid w:val="00491677"/>
    <w:rsid w:val="00491E14"/>
    <w:rsid w:val="0049235A"/>
    <w:rsid w:val="00493994"/>
    <w:rsid w:val="004946CD"/>
    <w:rsid w:val="00495105"/>
    <w:rsid w:val="00495666"/>
    <w:rsid w:val="004957D9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0C0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0CD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314"/>
    <w:rsid w:val="004B78D8"/>
    <w:rsid w:val="004B7B11"/>
    <w:rsid w:val="004C0085"/>
    <w:rsid w:val="004C0267"/>
    <w:rsid w:val="004C0483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3B3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0AB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2A0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5F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1FDA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C43"/>
    <w:rsid w:val="004F6D4F"/>
    <w:rsid w:val="004F7919"/>
    <w:rsid w:val="004F7AEF"/>
    <w:rsid w:val="005002D6"/>
    <w:rsid w:val="00501C22"/>
    <w:rsid w:val="00501FCB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750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19A"/>
    <w:rsid w:val="005246E8"/>
    <w:rsid w:val="00524C66"/>
    <w:rsid w:val="00524C8A"/>
    <w:rsid w:val="00525055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7EE"/>
    <w:rsid w:val="00537E62"/>
    <w:rsid w:val="00540143"/>
    <w:rsid w:val="00540194"/>
    <w:rsid w:val="00540459"/>
    <w:rsid w:val="0054092E"/>
    <w:rsid w:val="00540FA7"/>
    <w:rsid w:val="0054120E"/>
    <w:rsid w:val="005417D1"/>
    <w:rsid w:val="00541C99"/>
    <w:rsid w:val="005421FB"/>
    <w:rsid w:val="005424EE"/>
    <w:rsid w:val="00542682"/>
    <w:rsid w:val="00542772"/>
    <w:rsid w:val="005432A1"/>
    <w:rsid w:val="00543B7B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0A9"/>
    <w:rsid w:val="005527AF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6F12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1C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148B"/>
    <w:rsid w:val="0058231E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6DB7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B8E"/>
    <w:rsid w:val="005A3302"/>
    <w:rsid w:val="005A33B8"/>
    <w:rsid w:val="005A34A3"/>
    <w:rsid w:val="005A36A6"/>
    <w:rsid w:val="005A3D15"/>
    <w:rsid w:val="005A42B2"/>
    <w:rsid w:val="005A4458"/>
    <w:rsid w:val="005A4806"/>
    <w:rsid w:val="005A4E46"/>
    <w:rsid w:val="005A58CC"/>
    <w:rsid w:val="005A5F07"/>
    <w:rsid w:val="005A603D"/>
    <w:rsid w:val="005A60BF"/>
    <w:rsid w:val="005A6A37"/>
    <w:rsid w:val="005A6F63"/>
    <w:rsid w:val="005A7895"/>
    <w:rsid w:val="005A7A37"/>
    <w:rsid w:val="005A7B70"/>
    <w:rsid w:val="005A7D84"/>
    <w:rsid w:val="005B00B3"/>
    <w:rsid w:val="005B02F8"/>
    <w:rsid w:val="005B0358"/>
    <w:rsid w:val="005B04B7"/>
    <w:rsid w:val="005B0673"/>
    <w:rsid w:val="005B0BE7"/>
    <w:rsid w:val="005B1241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06A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5726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C34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10ED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59E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4CC6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0DB4"/>
    <w:rsid w:val="0062141B"/>
    <w:rsid w:val="00621497"/>
    <w:rsid w:val="006222D6"/>
    <w:rsid w:val="006222F6"/>
    <w:rsid w:val="0062236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6F59"/>
    <w:rsid w:val="00627A3A"/>
    <w:rsid w:val="00627C61"/>
    <w:rsid w:val="00627FF7"/>
    <w:rsid w:val="0063052E"/>
    <w:rsid w:val="0063085E"/>
    <w:rsid w:val="006309C4"/>
    <w:rsid w:val="006310F0"/>
    <w:rsid w:val="00631201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41C"/>
    <w:rsid w:val="006360BD"/>
    <w:rsid w:val="00636366"/>
    <w:rsid w:val="006368D6"/>
    <w:rsid w:val="00636E90"/>
    <w:rsid w:val="00637057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1E6"/>
    <w:rsid w:val="006447D4"/>
    <w:rsid w:val="00644A22"/>
    <w:rsid w:val="00644D96"/>
    <w:rsid w:val="006452B1"/>
    <w:rsid w:val="00645428"/>
    <w:rsid w:val="0064560D"/>
    <w:rsid w:val="006460ED"/>
    <w:rsid w:val="006467BA"/>
    <w:rsid w:val="00646B51"/>
    <w:rsid w:val="00646D2C"/>
    <w:rsid w:val="00646E5B"/>
    <w:rsid w:val="006471A3"/>
    <w:rsid w:val="00647536"/>
    <w:rsid w:val="00647E2D"/>
    <w:rsid w:val="00650046"/>
    <w:rsid w:val="0065011D"/>
    <w:rsid w:val="00650596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5B4"/>
    <w:rsid w:val="00660937"/>
    <w:rsid w:val="006615F7"/>
    <w:rsid w:val="00661ADB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07E"/>
    <w:rsid w:val="0066623E"/>
    <w:rsid w:val="00666D6F"/>
    <w:rsid w:val="00666E9C"/>
    <w:rsid w:val="00667142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2B0"/>
    <w:rsid w:val="00671517"/>
    <w:rsid w:val="00671867"/>
    <w:rsid w:val="006719BE"/>
    <w:rsid w:val="0067225C"/>
    <w:rsid w:val="00673653"/>
    <w:rsid w:val="006739A0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62A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0EF9"/>
    <w:rsid w:val="00691137"/>
    <w:rsid w:val="00691279"/>
    <w:rsid w:val="006919C4"/>
    <w:rsid w:val="00691F53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A78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91B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7E0"/>
    <w:rsid w:val="006C5B03"/>
    <w:rsid w:val="006C6171"/>
    <w:rsid w:val="006C6372"/>
    <w:rsid w:val="006C6577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9A0"/>
    <w:rsid w:val="006D514F"/>
    <w:rsid w:val="006D5167"/>
    <w:rsid w:val="006D543A"/>
    <w:rsid w:val="006D57E1"/>
    <w:rsid w:val="006D5BD7"/>
    <w:rsid w:val="006D5F89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222"/>
    <w:rsid w:val="006F7545"/>
    <w:rsid w:val="006F757C"/>
    <w:rsid w:val="006F7D11"/>
    <w:rsid w:val="006F7F81"/>
    <w:rsid w:val="006F7FED"/>
    <w:rsid w:val="007007E9"/>
    <w:rsid w:val="00700900"/>
    <w:rsid w:val="00700F76"/>
    <w:rsid w:val="0070126A"/>
    <w:rsid w:val="00701504"/>
    <w:rsid w:val="0070260D"/>
    <w:rsid w:val="007026DE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2EB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22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8D6"/>
    <w:rsid w:val="00736FCE"/>
    <w:rsid w:val="00737474"/>
    <w:rsid w:val="00737596"/>
    <w:rsid w:val="00737872"/>
    <w:rsid w:val="00737BF6"/>
    <w:rsid w:val="00740F84"/>
    <w:rsid w:val="007410A1"/>
    <w:rsid w:val="00741824"/>
    <w:rsid w:val="00742110"/>
    <w:rsid w:val="007423E5"/>
    <w:rsid w:val="007429BD"/>
    <w:rsid w:val="007432AA"/>
    <w:rsid w:val="0074375A"/>
    <w:rsid w:val="00744714"/>
    <w:rsid w:val="007447F8"/>
    <w:rsid w:val="00744984"/>
    <w:rsid w:val="00744CFD"/>
    <w:rsid w:val="00745078"/>
    <w:rsid w:val="007452EC"/>
    <w:rsid w:val="00745871"/>
    <w:rsid w:val="00746133"/>
    <w:rsid w:val="007461B4"/>
    <w:rsid w:val="00746764"/>
    <w:rsid w:val="00746F90"/>
    <w:rsid w:val="0074723F"/>
    <w:rsid w:val="007474AB"/>
    <w:rsid w:val="00747889"/>
    <w:rsid w:val="00747D12"/>
    <w:rsid w:val="00750C62"/>
    <w:rsid w:val="007510E3"/>
    <w:rsid w:val="007510ED"/>
    <w:rsid w:val="00751140"/>
    <w:rsid w:val="00751BCD"/>
    <w:rsid w:val="00752330"/>
    <w:rsid w:val="00752791"/>
    <w:rsid w:val="00752CEF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4DF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CD8"/>
    <w:rsid w:val="00772E8B"/>
    <w:rsid w:val="00773493"/>
    <w:rsid w:val="0077417B"/>
    <w:rsid w:val="00774ABA"/>
    <w:rsid w:val="00774BC3"/>
    <w:rsid w:val="00774E96"/>
    <w:rsid w:val="00775D07"/>
    <w:rsid w:val="00775D71"/>
    <w:rsid w:val="00775EC6"/>
    <w:rsid w:val="0077730A"/>
    <w:rsid w:val="007774AA"/>
    <w:rsid w:val="00777D1F"/>
    <w:rsid w:val="007806B5"/>
    <w:rsid w:val="00780A4F"/>
    <w:rsid w:val="00781702"/>
    <w:rsid w:val="00781FDE"/>
    <w:rsid w:val="0078216F"/>
    <w:rsid w:val="00782194"/>
    <w:rsid w:val="00782477"/>
    <w:rsid w:val="007827FE"/>
    <w:rsid w:val="0078359B"/>
    <w:rsid w:val="00783B30"/>
    <w:rsid w:val="007841CF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06"/>
    <w:rsid w:val="007915C7"/>
    <w:rsid w:val="00791872"/>
    <w:rsid w:val="00793875"/>
    <w:rsid w:val="00793B66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4A7"/>
    <w:rsid w:val="007A2EE9"/>
    <w:rsid w:val="007A3398"/>
    <w:rsid w:val="007A36DB"/>
    <w:rsid w:val="007A4082"/>
    <w:rsid w:val="007A421D"/>
    <w:rsid w:val="007A436F"/>
    <w:rsid w:val="007A4848"/>
    <w:rsid w:val="007A48B5"/>
    <w:rsid w:val="007A490E"/>
    <w:rsid w:val="007A49BF"/>
    <w:rsid w:val="007A4BEB"/>
    <w:rsid w:val="007A4FC9"/>
    <w:rsid w:val="007A5333"/>
    <w:rsid w:val="007A554B"/>
    <w:rsid w:val="007A580E"/>
    <w:rsid w:val="007A5F15"/>
    <w:rsid w:val="007A6036"/>
    <w:rsid w:val="007A6E13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95F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537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95D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D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8FE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6358"/>
    <w:rsid w:val="007D71CB"/>
    <w:rsid w:val="007D7500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1BC4"/>
    <w:rsid w:val="008027E7"/>
    <w:rsid w:val="0080283E"/>
    <w:rsid w:val="00802D6B"/>
    <w:rsid w:val="00803091"/>
    <w:rsid w:val="00803AD9"/>
    <w:rsid w:val="00804894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AD1"/>
    <w:rsid w:val="00840CC4"/>
    <w:rsid w:val="00841123"/>
    <w:rsid w:val="0084191C"/>
    <w:rsid w:val="00841A26"/>
    <w:rsid w:val="00841A67"/>
    <w:rsid w:val="00841BD0"/>
    <w:rsid w:val="00841E5F"/>
    <w:rsid w:val="00841FDE"/>
    <w:rsid w:val="00842274"/>
    <w:rsid w:val="00842374"/>
    <w:rsid w:val="008429D0"/>
    <w:rsid w:val="0084331A"/>
    <w:rsid w:val="00843FC9"/>
    <w:rsid w:val="00844118"/>
    <w:rsid w:val="008443FB"/>
    <w:rsid w:val="00844C93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3E7A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494E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77C34"/>
    <w:rsid w:val="00877DF3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6931"/>
    <w:rsid w:val="00887C62"/>
    <w:rsid w:val="008900A7"/>
    <w:rsid w:val="008900B6"/>
    <w:rsid w:val="008904C5"/>
    <w:rsid w:val="008909BC"/>
    <w:rsid w:val="00890A7F"/>
    <w:rsid w:val="00890A9F"/>
    <w:rsid w:val="00890F3A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3A5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382"/>
    <w:rsid w:val="008B7EA2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0CE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0C2F"/>
    <w:rsid w:val="008F1835"/>
    <w:rsid w:val="008F1B97"/>
    <w:rsid w:val="008F2067"/>
    <w:rsid w:val="008F21A8"/>
    <w:rsid w:val="008F2A92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700"/>
    <w:rsid w:val="008F7996"/>
    <w:rsid w:val="008F7D9F"/>
    <w:rsid w:val="0090068D"/>
    <w:rsid w:val="0090083C"/>
    <w:rsid w:val="009009EE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A2A"/>
    <w:rsid w:val="00906CAE"/>
    <w:rsid w:val="00906E9D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0C1"/>
    <w:rsid w:val="00912285"/>
    <w:rsid w:val="009127F6"/>
    <w:rsid w:val="00912DB3"/>
    <w:rsid w:val="00913173"/>
    <w:rsid w:val="00913BCD"/>
    <w:rsid w:val="0091466C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9C"/>
    <w:rsid w:val="009229BF"/>
    <w:rsid w:val="00922C6F"/>
    <w:rsid w:val="009232C1"/>
    <w:rsid w:val="0092342F"/>
    <w:rsid w:val="00923906"/>
    <w:rsid w:val="00923AC1"/>
    <w:rsid w:val="00923B8D"/>
    <w:rsid w:val="00923C29"/>
    <w:rsid w:val="009246EF"/>
    <w:rsid w:val="009247D3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0FC7"/>
    <w:rsid w:val="00941117"/>
    <w:rsid w:val="0094116B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3C16"/>
    <w:rsid w:val="0094459F"/>
    <w:rsid w:val="00945D64"/>
    <w:rsid w:val="00945F26"/>
    <w:rsid w:val="00947145"/>
    <w:rsid w:val="00947AA9"/>
    <w:rsid w:val="00947FF8"/>
    <w:rsid w:val="009508F6"/>
    <w:rsid w:val="00951B74"/>
    <w:rsid w:val="00951E0A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60"/>
    <w:rsid w:val="009576DD"/>
    <w:rsid w:val="00957BA3"/>
    <w:rsid w:val="00957D1F"/>
    <w:rsid w:val="00960064"/>
    <w:rsid w:val="00960236"/>
    <w:rsid w:val="009607C7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937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67E5C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6F0"/>
    <w:rsid w:val="009728CB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D7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BB9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7C8"/>
    <w:rsid w:val="009960BE"/>
    <w:rsid w:val="009961AD"/>
    <w:rsid w:val="00996A1B"/>
    <w:rsid w:val="00997310"/>
    <w:rsid w:val="0099780E"/>
    <w:rsid w:val="009978A5"/>
    <w:rsid w:val="0099794D"/>
    <w:rsid w:val="009A01FE"/>
    <w:rsid w:val="009A05A5"/>
    <w:rsid w:val="009A0898"/>
    <w:rsid w:val="009A0A98"/>
    <w:rsid w:val="009A1B42"/>
    <w:rsid w:val="009A1F74"/>
    <w:rsid w:val="009A21B6"/>
    <w:rsid w:val="009A22AE"/>
    <w:rsid w:val="009A2576"/>
    <w:rsid w:val="009A2855"/>
    <w:rsid w:val="009A2882"/>
    <w:rsid w:val="009A2D61"/>
    <w:rsid w:val="009A36CD"/>
    <w:rsid w:val="009A394B"/>
    <w:rsid w:val="009A3CBD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A764C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7C8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59B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EDB"/>
    <w:rsid w:val="009E6F95"/>
    <w:rsid w:val="009E7BE7"/>
    <w:rsid w:val="009E7BEB"/>
    <w:rsid w:val="009F005D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5B8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70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D3C"/>
    <w:rsid w:val="00A16E92"/>
    <w:rsid w:val="00A20C50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3E4"/>
    <w:rsid w:val="00A308E6"/>
    <w:rsid w:val="00A30A3D"/>
    <w:rsid w:val="00A30C30"/>
    <w:rsid w:val="00A30D80"/>
    <w:rsid w:val="00A321AF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2B6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6A5"/>
    <w:rsid w:val="00A513F7"/>
    <w:rsid w:val="00A514C2"/>
    <w:rsid w:val="00A520CE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2B2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275"/>
    <w:rsid w:val="00A777D2"/>
    <w:rsid w:val="00A77883"/>
    <w:rsid w:val="00A77A7B"/>
    <w:rsid w:val="00A77F0A"/>
    <w:rsid w:val="00A802E7"/>
    <w:rsid w:val="00A8033D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5B"/>
    <w:rsid w:val="00A83266"/>
    <w:rsid w:val="00A8328E"/>
    <w:rsid w:val="00A83342"/>
    <w:rsid w:val="00A833A7"/>
    <w:rsid w:val="00A83D3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19D"/>
    <w:rsid w:val="00A879C3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A64"/>
    <w:rsid w:val="00A91CAD"/>
    <w:rsid w:val="00A91CF2"/>
    <w:rsid w:val="00A91F17"/>
    <w:rsid w:val="00A9248B"/>
    <w:rsid w:val="00A92B8C"/>
    <w:rsid w:val="00A92DFE"/>
    <w:rsid w:val="00A92E16"/>
    <w:rsid w:val="00A92E2B"/>
    <w:rsid w:val="00A93564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343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314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A2E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037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1505"/>
    <w:rsid w:val="00AF1BCC"/>
    <w:rsid w:val="00AF1D84"/>
    <w:rsid w:val="00AF2455"/>
    <w:rsid w:val="00AF2507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CC0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6D0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5A7"/>
    <w:rsid w:val="00B1086E"/>
    <w:rsid w:val="00B108DF"/>
    <w:rsid w:val="00B11427"/>
    <w:rsid w:val="00B11686"/>
    <w:rsid w:val="00B11948"/>
    <w:rsid w:val="00B11DC2"/>
    <w:rsid w:val="00B11ECF"/>
    <w:rsid w:val="00B11FDE"/>
    <w:rsid w:val="00B12370"/>
    <w:rsid w:val="00B1314E"/>
    <w:rsid w:val="00B1315A"/>
    <w:rsid w:val="00B13454"/>
    <w:rsid w:val="00B13953"/>
    <w:rsid w:val="00B1424A"/>
    <w:rsid w:val="00B14B30"/>
    <w:rsid w:val="00B14BD0"/>
    <w:rsid w:val="00B14D4C"/>
    <w:rsid w:val="00B151A2"/>
    <w:rsid w:val="00B153D9"/>
    <w:rsid w:val="00B154DF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BD5"/>
    <w:rsid w:val="00B22EC0"/>
    <w:rsid w:val="00B23352"/>
    <w:rsid w:val="00B23389"/>
    <w:rsid w:val="00B234C8"/>
    <w:rsid w:val="00B23F3A"/>
    <w:rsid w:val="00B23FE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DB4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31F"/>
    <w:rsid w:val="00B40890"/>
    <w:rsid w:val="00B40E5C"/>
    <w:rsid w:val="00B414A1"/>
    <w:rsid w:val="00B424CB"/>
    <w:rsid w:val="00B427AD"/>
    <w:rsid w:val="00B43171"/>
    <w:rsid w:val="00B43A85"/>
    <w:rsid w:val="00B43BF7"/>
    <w:rsid w:val="00B4438B"/>
    <w:rsid w:val="00B44C91"/>
    <w:rsid w:val="00B455C1"/>
    <w:rsid w:val="00B458F1"/>
    <w:rsid w:val="00B45F24"/>
    <w:rsid w:val="00B4669F"/>
    <w:rsid w:val="00B46825"/>
    <w:rsid w:val="00B46A5A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26F"/>
    <w:rsid w:val="00B563A1"/>
    <w:rsid w:val="00B566C3"/>
    <w:rsid w:val="00B567BD"/>
    <w:rsid w:val="00B57027"/>
    <w:rsid w:val="00B570F0"/>
    <w:rsid w:val="00B572CB"/>
    <w:rsid w:val="00B609FD"/>
    <w:rsid w:val="00B61918"/>
    <w:rsid w:val="00B61B0B"/>
    <w:rsid w:val="00B6247F"/>
    <w:rsid w:val="00B62836"/>
    <w:rsid w:val="00B6345D"/>
    <w:rsid w:val="00B63673"/>
    <w:rsid w:val="00B63882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441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49"/>
    <w:rsid w:val="00B77BBA"/>
    <w:rsid w:val="00B77DA1"/>
    <w:rsid w:val="00B80033"/>
    <w:rsid w:val="00B8057D"/>
    <w:rsid w:val="00B80A41"/>
    <w:rsid w:val="00B80AC9"/>
    <w:rsid w:val="00B80F07"/>
    <w:rsid w:val="00B810F4"/>
    <w:rsid w:val="00B81253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9B0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A07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AAE"/>
    <w:rsid w:val="00BB5E70"/>
    <w:rsid w:val="00BB63D9"/>
    <w:rsid w:val="00BB64BF"/>
    <w:rsid w:val="00BB658B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636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14"/>
    <w:rsid w:val="00BD74AF"/>
    <w:rsid w:val="00BE167A"/>
    <w:rsid w:val="00BE1A2F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4599"/>
    <w:rsid w:val="00BE6F17"/>
    <w:rsid w:val="00BE7ABA"/>
    <w:rsid w:val="00BE7AE5"/>
    <w:rsid w:val="00BF0246"/>
    <w:rsid w:val="00BF031D"/>
    <w:rsid w:val="00BF0F16"/>
    <w:rsid w:val="00BF1990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C18"/>
    <w:rsid w:val="00C11F7A"/>
    <w:rsid w:val="00C124D5"/>
    <w:rsid w:val="00C12557"/>
    <w:rsid w:val="00C12631"/>
    <w:rsid w:val="00C12B8F"/>
    <w:rsid w:val="00C12C04"/>
    <w:rsid w:val="00C12EE2"/>
    <w:rsid w:val="00C132E5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6C8B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35B8"/>
    <w:rsid w:val="00C33D35"/>
    <w:rsid w:val="00C34BAD"/>
    <w:rsid w:val="00C34DBD"/>
    <w:rsid w:val="00C35CDE"/>
    <w:rsid w:val="00C35F82"/>
    <w:rsid w:val="00C360E0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10B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3BEF"/>
    <w:rsid w:val="00C44CD9"/>
    <w:rsid w:val="00C44DDF"/>
    <w:rsid w:val="00C456BD"/>
    <w:rsid w:val="00C46189"/>
    <w:rsid w:val="00C461AB"/>
    <w:rsid w:val="00C46482"/>
    <w:rsid w:val="00C4672B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7D1"/>
    <w:rsid w:val="00C609B3"/>
    <w:rsid w:val="00C60A38"/>
    <w:rsid w:val="00C6167F"/>
    <w:rsid w:val="00C62029"/>
    <w:rsid w:val="00C62054"/>
    <w:rsid w:val="00C621E3"/>
    <w:rsid w:val="00C623F2"/>
    <w:rsid w:val="00C62BB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4968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87"/>
    <w:rsid w:val="00C778C2"/>
    <w:rsid w:val="00C779EB"/>
    <w:rsid w:val="00C80A26"/>
    <w:rsid w:val="00C80FA4"/>
    <w:rsid w:val="00C81058"/>
    <w:rsid w:val="00C814B7"/>
    <w:rsid w:val="00C817CA"/>
    <w:rsid w:val="00C81815"/>
    <w:rsid w:val="00C819F3"/>
    <w:rsid w:val="00C8206F"/>
    <w:rsid w:val="00C82AF0"/>
    <w:rsid w:val="00C82EDE"/>
    <w:rsid w:val="00C82F76"/>
    <w:rsid w:val="00C83341"/>
    <w:rsid w:val="00C83763"/>
    <w:rsid w:val="00C83DC1"/>
    <w:rsid w:val="00C8419D"/>
    <w:rsid w:val="00C842E5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67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408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856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B7C78"/>
    <w:rsid w:val="00CC07FF"/>
    <w:rsid w:val="00CC0E15"/>
    <w:rsid w:val="00CC1398"/>
    <w:rsid w:val="00CC1B44"/>
    <w:rsid w:val="00CC1C5F"/>
    <w:rsid w:val="00CC1FE2"/>
    <w:rsid w:val="00CC25B1"/>
    <w:rsid w:val="00CC290C"/>
    <w:rsid w:val="00CC2CFC"/>
    <w:rsid w:val="00CC2FFA"/>
    <w:rsid w:val="00CC36D2"/>
    <w:rsid w:val="00CC3939"/>
    <w:rsid w:val="00CC447F"/>
    <w:rsid w:val="00CC4774"/>
    <w:rsid w:val="00CC4C50"/>
    <w:rsid w:val="00CC4E23"/>
    <w:rsid w:val="00CC5016"/>
    <w:rsid w:val="00CC5084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BD1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2C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C04"/>
    <w:rsid w:val="00CE6DC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4FD"/>
    <w:rsid w:val="00CF7D6F"/>
    <w:rsid w:val="00D0047D"/>
    <w:rsid w:val="00D00953"/>
    <w:rsid w:val="00D0098A"/>
    <w:rsid w:val="00D01058"/>
    <w:rsid w:val="00D01060"/>
    <w:rsid w:val="00D01222"/>
    <w:rsid w:val="00D01AE2"/>
    <w:rsid w:val="00D01CBF"/>
    <w:rsid w:val="00D02291"/>
    <w:rsid w:val="00D0244F"/>
    <w:rsid w:val="00D026FC"/>
    <w:rsid w:val="00D02BD0"/>
    <w:rsid w:val="00D02D09"/>
    <w:rsid w:val="00D02DC9"/>
    <w:rsid w:val="00D038CB"/>
    <w:rsid w:val="00D03B3E"/>
    <w:rsid w:val="00D03B96"/>
    <w:rsid w:val="00D0404B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29E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833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C3C"/>
    <w:rsid w:val="00D220F7"/>
    <w:rsid w:val="00D22933"/>
    <w:rsid w:val="00D22A73"/>
    <w:rsid w:val="00D235A1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997"/>
    <w:rsid w:val="00D30F6B"/>
    <w:rsid w:val="00D312B0"/>
    <w:rsid w:val="00D312DB"/>
    <w:rsid w:val="00D31730"/>
    <w:rsid w:val="00D32F17"/>
    <w:rsid w:val="00D330A1"/>
    <w:rsid w:val="00D33184"/>
    <w:rsid w:val="00D3328F"/>
    <w:rsid w:val="00D332D1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2C"/>
    <w:rsid w:val="00D502F9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3EF"/>
    <w:rsid w:val="00D525F0"/>
    <w:rsid w:val="00D52C1B"/>
    <w:rsid w:val="00D536A6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00D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4F3"/>
    <w:rsid w:val="00D758CB"/>
    <w:rsid w:val="00D75A72"/>
    <w:rsid w:val="00D75ADB"/>
    <w:rsid w:val="00D7601D"/>
    <w:rsid w:val="00D7633C"/>
    <w:rsid w:val="00D76BA0"/>
    <w:rsid w:val="00D774E1"/>
    <w:rsid w:val="00D7762B"/>
    <w:rsid w:val="00D80D93"/>
    <w:rsid w:val="00D80E1F"/>
    <w:rsid w:val="00D81343"/>
    <w:rsid w:val="00D815AF"/>
    <w:rsid w:val="00D8247D"/>
    <w:rsid w:val="00D82793"/>
    <w:rsid w:val="00D82B50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11E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2F4"/>
    <w:rsid w:val="00D939E1"/>
    <w:rsid w:val="00D94663"/>
    <w:rsid w:val="00D94B5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10E"/>
    <w:rsid w:val="00DA249D"/>
    <w:rsid w:val="00DA2716"/>
    <w:rsid w:val="00DA27F8"/>
    <w:rsid w:val="00DA2A7C"/>
    <w:rsid w:val="00DA3919"/>
    <w:rsid w:val="00DA4974"/>
    <w:rsid w:val="00DA501E"/>
    <w:rsid w:val="00DA5AB5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4ED4"/>
    <w:rsid w:val="00DB5592"/>
    <w:rsid w:val="00DB5AC3"/>
    <w:rsid w:val="00DB5C93"/>
    <w:rsid w:val="00DB6066"/>
    <w:rsid w:val="00DB6108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DF3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CB1"/>
    <w:rsid w:val="00DE55D0"/>
    <w:rsid w:val="00DE57BC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9CF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1EFC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6F95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2F06"/>
    <w:rsid w:val="00E2311F"/>
    <w:rsid w:val="00E2318D"/>
    <w:rsid w:val="00E2361D"/>
    <w:rsid w:val="00E239B2"/>
    <w:rsid w:val="00E23BD1"/>
    <w:rsid w:val="00E24058"/>
    <w:rsid w:val="00E242C6"/>
    <w:rsid w:val="00E245A9"/>
    <w:rsid w:val="00E25451"/>
    <w:rsid w:val="00E257DB"/>
    <w:rsid w:val="00E260A8"/>
    <w:rsid w:val="00E2672A"/>
    <w:rsid w:val="00E26781"/>
    <w:rsid w:val="00E270F9"/>
    <w:rsid w:val="00E272E9"/>
    <w:rsid w:val="00E27404"/>
    <w:rsid w:val="00E27863"/>
    <w:rsid w:val="00E27C4E"/>
    <w:rsid w:val="00E303A1"/>
    <w:rsid w:val="00E308CE"/>
    <w:rsid w:val="00E31B4C"/>
    <w:rsid w:val="00E3259A"/>
    <w:rsid w:val="00E332C0"/>
    <w:rsid w:val="00E3352A"/>
    <w:rsid w:val="00E34202"/>
    <w:rsid w:val="00E348FB"/>
    <w:rsid w:val="00E34A6D"/>
    <w:rsid w:val="00E355F4"/>
    <w:rsid w:val="00E356AD"/>
    <w:rsid w:val="00E35999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55C"/>
    <w:rsid w:val="00E46770"/>
    <w:rsid w:val="00E46C8C"/>
    <w:rsid w:val="00E473BD"/>
    <w:rsid w:val="00E478BB"/>
    <w:rsid w:val="00E47BA3"/>
    <w:rsid w:val="00E50609"/>
    <w:rsid w:val="00E51080"/>
    <w:rsid w:val="00E5115B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8CC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B8"/>
    <w:rsid w:val="00E823DA"/>
    <w:rsid w:val="00E8360C"/>
    <w:rsid w:val="00E840F4"/>
    <w:rsid w:val="00E84BCB"/>
    <w:rsid w:val="00E84DEB"/>
    <w:rsid w:val="00E850FB"/>
    <w:rsid w:val="00E851E2"/>
    <w:rsid w:val="00E855F9"/>
    <w:rsid w:val="00E85B2C"/>
    <w:rsid w:val="00E85BBE"/>
    <w:rsid w:val="00E85DDD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04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A7893"/>
    <w:rsid w:val="00EB0A02"/>
    <w:rsid w:val="00EB172B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C00B1"/>
    <w:rsid w:val="00EC0475"/>
    <w:rsid w:val="00EC0639"/>
    <w:rsid w:val="00EC1F07"/>
    <w:rsid w:val="00EC25C4"/>
    <w:rsid w:val="00EC25C5"/>
    <w:rsid w:val="00EC2E02"/>
    <w:rsid w:val="00EC2E90"/>
    <w:rsid w:val="00EC34E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6E8"/>
    <w:rsid w:val="00EC692A"/>
    <w:rsid w:val="00EC702A"/>
    <w:rsid w:val="00EC71A6"/>
    <w:rsid w:val="00ED08EA"/>
    <w:rsid w:val="00ED0A00"/>
    <w:rsid w:val="00ED0C26"/>
    <w:rsid w:val="00ED0E87"/>
    <w:rsid w:val="00ED21E2"/>
    <w:rsid w:val="00ED314D"/>
    <w:rsid w:val="00ED3242"/>
    <w:rsid w:val="00ED34E7"/>
    <w:rsid w:val="00ED355F"/>
    <w:rsid w:val="00ED3979"/>
    <w:rsid w:val="00ED3ECF"/>
    <w:rsid w:val="00ED43A3"/>
    <w:rsid w:val="00ED49FB"/>
    <w:rsid w:val="00ED4BBA"/>
    <w:rsid w:val="00ED67B6"/>
    <w:rsid w:val="00ED6C55"/>
    <w:rsid w:val="00ED6D82"/>
    <w:rsid w:val="00ED6F4C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5E3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C5E"/>
    <w:rsid w:val="00EF3CCF"/>
    <w:rsid w:val="00EF3E1C"/>
    <w:rsid w:val="00EF435B"/>
    <w:rsid w:val="00EF4361"/>
    <w:rsid w:val="00EF4532"/>
    <w:rsid w:val="00EF4C62"/>
    <w:rsid w:val="00EF4DFF"/>
    <w:rsid w:val="00EF4E29"/>
    <w:rsid w:val="00EF4ECF"/>
    <w:rsid w:val="00EF539B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EF7F24"/>
    <w:rsid w:val="00F00203"/>
    <w:rsid w:val="00F00590"/>
    <w:rsid w:val="00F0078E"/>
    <w:rsid w:val="00F00B2D"/>
    <w:rsid w:val="00F00E3B"/>
    <w:rsid w:val="00F010CF"/>
    <w:rsid w:val="00F01849"/>
    <w:rsid w:val="00F01F6C"/>
    <w:rsid w:val="00F020D1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583"/>
    <w:rsid w:val="00F079C2"/>
    <w:rsid w:val="00F079F7"/>
    <w:rsid w:val="00F07E23"/>
    <w:rsid w:val="00F1036C"/>
    <w:rsid w:val="00F10989"/>
    <w:rsid w:val="00F10BD1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5FED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35F"/>
    <w:rsid w:val="00F36964"/>
    <w:rsid w:val="00F37004"/>
    <w:rsid w:val="00F37086"/>
    <w:rsid w:val="00F37298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266"/>
    <w:rsid w:val="00F4635C"/>
    <w:rsid w:val="00F4663E"/>
    <w:rsid w:val="00F47970"/>
    <w:rsid w:val="00F47DAD"/>
    <w:rsid w:val="00F503E1"/>
    <w:rsid w:val="00F506BA"/>
    <w:rsid w:val="00F50719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3DE8"/>
    <w:rsid w:val="00F64487"/>
    <w:rsid w:val="00F644C7"/>
    <w:rsid w:val="00F64979"/>
    <w:rsid w:val="00F64F30"/>
    <w:rsid w:val="00F653B0"/>
    <w:rsid w:val="00F65AB1"/>
    <w:rsid w:val="00F65B93"/>
    <w:rsid w:val="00F66100"/>
    <w:rsid w:val="00F66741"/>
    <w:rsid w:val="00F667D2"/>
    <w:rsid w:val="00F679D9"/>
    <w:rsid w:val="00F67E65"/>
    <w:rsid w:val="00F70137"/>
    <w:rsid w:val="00F71E59"/>
    <w:rsid w:val="00F7222B"/>
    <w:rsid w:val="00F72A5F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C45"/>
    <w:rsid w:val="00F81F19"/>
    <w:rsid w:val="00F81F59"/>
    <w:rsid w:val="00F82972"/>
    <w:rsid w:val="00F829B5"/>
    <w:rsid w:val="00F82C0D"/>
    <w:rsid w:val="00F830AC"/>
    <w:rsid w:val="00F83C52"/>
    <w:rsid w:val="00F841AB"/>
    <w:rsid w:val="00F842C9"/>
    <w:rsid w:val="00F84392"/>
    <w:rsid w:val="00F8489C"/>
    <w:rsid w:val="00F84903"/>
    <w:rsid w:val="00F84B9F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A80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4B3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016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767"/>
    <w:rsid w:val="00FC3F31"/>
    <w:rsid w:val="00FC47EE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758"/>
    <w:rsid w:val="00FD5FBE"/>
    <w:rsid w:val="00FD6135"/>
    <w:rsid w:val="00FD672C"/>
    <w:rsid w:val="00FD6A30"/>
    <w:rsid w:val="00FD6C06"/>
    <w:rsid w:val="00FD6E65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B2A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23A"/>
    <w:rsid w:val="00FF44A6"/>
    <w:rsid w:val="00FF4682"/>
    <w:rsid w:val="00FF4C00"/>
    <w:rsid w:val="00FF4FFB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A987-9F29-4D18-932D-103AE649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5670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Isabel Corral Martinez</cp:lastModifiedBy>
  <cp:revision>10</cp:revision>
  <cp:lastPrinted>2024-02-15T14:26:00Z</cp:lastPrinted>
  <dcterms:created xsi:type="dcterms:W3CDTF">2024-02-15T16:57:00Z</dcterms:created>
  <dcterms:modified xsi:type="dcterms:W3CDTF">2024-02-16T18:07:00Z</dcterms:modified>
</cp:coreProperties>
</file>